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F1C64" w14:textId="77777777" w:rsidR="00E850FE" w:rsidRPr="00B37898" w:rsidRDefault="00E850FE" w:rsidP="00E90F65">
      <w:pPr>
        <w:spacing w:after="0"/>
      </w:pPr>
    </w:p>
    <w:p w14:paraId="6AB84E51" w14:textId="1D543294" w:rsidR="00DB7F3B" w:rsidRPr="00DB7F3B" w:rsidRDefault="49DFE6C6" w:rsidP="04987EDC">
      <w:pPr>
        <w:pStyle w:val="NFCCTitleonBlueBorder"/>
        <w:rPr>
          <w:sz w:val="36"/>
          <w:szCs w:val="36"/>
        </w:rPr>
      </w:pPr>
      <w:r w:rsidRPr="04987EDC">
        <w:rPr>
          <w:sz w:val="36"/>
          <w:szCs w:val="36"/>
        </w:rPr>
        <w:t xml:space="preserve">DRAFT </w:t>
      </w:r>
      <w:r w:rsidR="55FBE4FD" w:rsidRPr="04987EDC">
        <w:rPr>
          <w:sz w:val="36"/>
          <w:szCs w:val="36"/>
        </w:rPr>
        <w:t xml:space="preserve">Safe Sharing of Misconduct </w:t>
      </w:r>
      <w:r w:rsidR="0B51E18F" w:rsidRPr="04987EDC">
        <w:rPr>
          <w:sz w:val="36"/>
          <w:szCs w:val="36"/>
        </w:rPr>
        <w:t xml:space="preserve">Learning </w:t>
      </w:r>
      <w:r w:rsidR="55FBE4FD" w:rsidRPr="04987EDC">
        <w:rPr>
          <w:sz w:val="36"/>
          <w:szCs w:val="36"/>
        </w:rPr>
        <w:t>Guidance</w:t>
      </w:r>
    </w:p>
    <w:p w14:paraId="2ED9843E" w14:textId="77777777" w:rsidR="00DB7F3B" w:rsidRDefault="00DB7F3B" w:rsidP="68AAF936">
      <w:pPr>
        <w:pStyle w:val="Heading2"/>
        <w:rPr>
          <w:rFonts w:eastAsia="Arial"/>
        </w:rPr>
      </w:pPr>
    </w:p>
    <w:p w14:paraId="5BE96007" w14:textId="07E31CEE" w:rsidR="0096464F" w:rsidRDefault="2CD2C99D" w:rsidP="68AAF936">
      <w:pPr>
        <w:pStyle w:val="Heading2"/>
        <w:rPr>
          <w:rFonts w:eastAsia="Arial"/>
        </w:rPr>
      </w:pPr>
      <w:r w:rsidRPr="68AAF936">
        <w:rPr>
          <w:rFonts w:eastAsia="Arial"/>
        </w:rPr>
        <w:t>Introduction</w:t>
      </w:r>
    </w:p>
    <w:p w14:paraId="1563C3FD"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The purpose of this guidance is to support fire and rescue services in how to safely share learning from misconduct cases. When misconduct allegations are raised, an effective, sensitive, and confidential response is central to protecting the parties involved and reaching a safe outcome for the service. This response may include an initial incident assessment and response, interim measures, an internal investigation, cooperation with external investigations, a disciplinary hearing, and any other necessary processes. If responses to misconduct cases are managed with a reflective, evaluative approach and grounded in learning from prior cases, it can support the effectiveness of these processes for a fire and rescue service. </w:t>
      </w:r>
    </w:p>
    <w:p w14:paraId="2F627510"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Services who review how misconduct cases are handled can provide wider insights into their service’s culture, its approach to incident management, and the effectiveness of its policies and processes. A service’s desire and willingness to reflect, learn, and evaluate its approach also supports a positive learning culture that improves outcomes for employees. It is therefore crucial that learning is captured and shared safely and effectively to support improvement in services and across the fire and rescue sector.</w:t>
      </w:r>
    </w:p>
    <w:p w14:paraId="6F31AA78"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This guidance refers to 'misconduct cases'. Misconduct cases include: </w:t>
      </w:r>
    </w:p>
    <w:p w14:paraId="5F65BE9E" w14:textId="77777777" w:rsidR="00DB7F3B" w:rsidRPr="00DB7F3B" w:rsidRDefault="7E4B1A9A" w:rsidP="68AAF936">
      <w:pPr>
        <w:numPr>
          <w:ilvl w:val="0"/>
          <w:numId w:val="2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cases where misconduct allegations are managed informally</w:t>
      </w:r>
    </w:p>
    <w:p w14:paraId="5D4EAB82" w14:textId="77777777" w:rsidR="00DB7F3B" w:rsidRPr="00DB7F3B" w:rsidRDefault="7E4B1A9A" w:rsidP="68AAF936">
      <w:pPr>
        <w:numPr>
          <w:ilvl w:val="0"/>
          <w:numId w:val="2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cases where misconduct allegations are raised and they are investigated and managed formally</w:t>
      </w:r>
    </w:p>
    <w:p w14:paraId="2E167A96" w14:textId="77777777" w:rsidR="00DB7F3B" w:rsidRPr="00DB7F3B" w:rsidRDefault="7E4B1A9A" w:rsidP="68AAF936">
      <w:pPr>
        <w:numPr>
          <w:ilvl w:val="0"/>
          <w:numId w:val="2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cases where misconduct allegations are raised and they are not upheld following investigation</w:t>
      </w:r>
    </w:p>
    <w:p w14:paraId="2F699699" w14:textId="77777777" w:rsidR="00DB7F3B" w:rsidRPr="00DB7F3B" w:rsidRDefault="7E4B1A9A" w:rsidP="68AAF936">
      <w:pPr>
        <w:numPr>
          <w:ilvl w:val="0"/>
          <w:numId w:val="2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cases where misconduct allegations are raised and they do not meet the threshold for 'misconduct' but still raise concern</w:t>
      </w:r>
    </w:p>
    <w:p w14:paraId="00C337B7"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Misconduct cases may follow a disciplinary process and investigation, but they may also be managed informally. They may also be covered by a service’s anti-bullying and harassment policy, grievance policy, performance management policy, or absence management policy.</w:t>
      </w:r>
    </w:p>
    <w:p w14:paraId="5C3D0992"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Please note that this guidance provides general good practice advice and does not constitute legal advice. Fire and rescue services remain responsible for ensuring compliance with applicable legislation and should seek legal and data protection advice where appropriate.</w:t>
      </w:r>
    </w:p>
    <w:p w14:paraId="2CA518AF" w14:textId="77777777" w:rsidR="00DB7F3B" w:rsidRPr="00DB7F3B" w:rsidRDefault="00DB7F3B" w:rsidP="68AAF936">
      <w:pPr>
        <w:spacing w:after="160" w:line="278" w:lineRule="auto"/>
        <w:rPr>
          <w:rFonts w:eastAsia="Arial" w:cs="Arial"/>
          <w:kern w:val="2"/>
          <w14:ligatures w14:val="standardContextual"/>
        </w:rPr>
      </w:pPr>
    </w:p>
    <w:p w14:paraId="54B0AD11"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This guidance covers: </w:t>
      </w:r>
    </w:p>
    <w:p w14:paraId="18EC478F" w14:textId="48064195" w:rsidR="00DB7F3B" w:rsidRPr="00DB7F3B" w:rsidRDefault="7E4B1A9A" w:rsidP="68AAF936">
      <w:pPr>
        <w:numPr>
          <w:ilvl w:val="0"/>
          <w:numId w:val="7"/>
        </w:numPr>
        <w:spacing w:after="160" w:line="278" w:lineRule="auto"/>
        <w:contextualSpacing/>
        <w:rPr>
          <w:rFonts w:eastAsia="Arial" w:cs="Arial"/>
          <w:b/>
          <w:bCs/>
          <w:kern w:val="2"/>
          <w14:ligatures w14:val="standardContextual"/>
        </w:rPr>
      </w:pPr>
      <w:r w:rsidRPr="68AAF936">
        <w:rPr>
          <w:rFonts w:eastAsia="Arial" w:cs="Arial"/>
          <w:b/>
          <w:bCs/>
          <w:kern w:val="2"/>
          <w14:ligatures w14:val="standardContextual"/>
        </w:rPr>
        <w:t>Who is this guidance for</w:t>
      </w:r>
    </w:p>
    <w:p w14:paraId="3B81FF62" w14:textId="77777777" w:rsidR="00DB7F3B" w:rsidRPr="00DB7F3B" w:rsidRDefault="7E4B1A9A" w:rsidP="68AAF936">
      <w:pPr>
        <w:numPr>
          <w:ilvl w:val="0"/>
          <w:numId w:val="7"/>
        </w:numPr>
        <w:spacing w:after="160" w:line="278" w:lineRule="auto"/>
        <w:contextualSpacing/>
        <w:rPr>
          <w:rFonts w:eastAsia="Arial" w:cs="Arial"/>
          <w:b/>
          <w:bCs/>
          <w:kern w:val="2"/>
          <w14:ligatures w14:val="standardContextual"/>
        </w:rPr>
      </w:pPr>
      <w:r w:rsidRPr="68AAF936">
        <w:rPr>
          <w:rFonts w:eastAsia="Arial" w:cs="Arial"/>
          <w:b/>
          <w:bCs/>
          <w:kern w:val="2"/>
          <w14:ligatures w14:val="standardContextual"/>
        </w:rPr>
        <w:t>How to use this guidance</w:t>
      </w:r>
    </w:p>
    <w:p w14:paraId="052F228E" w14:textId="77777777" w:rsidR="00DB7F3B" w:rsidRPr="00DB7F3B" w:rsidRDefault="7E4B1A9A" w:rsidP="68AAF936">
      <w:pPr>
        <w:numPr>
          <w:ilvl w:val="0"/>
          <w:numId w:val="7"/>
        </w:numPr>
        <w:spacing w:after="160" w:line="278" w:lineRule="auto"/>
        <w:contextualSpacing/>
        <w:rPr>
          <w:rFonts w:eastAsia="Arial" w:cs="Arial"/>
          <w:b/>
          <w:bCs/>
          <w:kern w:val="2"/>
          <w14:ligatures w14:val="standardContextual"/>
        </w:rPr>
      </w:pPr>
      <w:r w:rsidRPr="68AAF936">
        <w:rPr>
          <w:rFonts w:eastAsia="Arial" w:cs="Arial"/>
          <w:b/>
          <w:bCs/>
          <w:kern w:val="2"/>
          <w14:ligatures w14:val="standardContextual"/>
        </w:rPr>
        <w:lastRenderedPageBreak/>
        <w:t>Why services should identify and share learning from misconduct</w:t>
      </w:r>
    </w:p>
    <w:p w14:paraId="7C4D4DCA" w14:textId="77777777" w:rsidR="00DB7F3B" w:rsidRPr="00DB7F3B" w:rsidRDefault="7E4B1A9A" w:rsidP="68AAF936">
      <w:pPr>
        <w:numPr>
          <w:ilvl w:val="0"/>
          <w:numId w:val="7"/>
        </w:numPr>
        <w:spacing w:after="160" w:line="278" w:lineRule="auto"/>
        <w:contextualSpacing/>
        <w:rPr>
          <w:rFonts w:eastAsia="Arial" w:cs="Arial"/>
          <w:b/>
          <w:bCs/>
          <w:kern w:val="2"/>
          <w14:ligatures w14:val="standardContextual"/>
        </w:rPr>
      </w:pPr>
      <w:r w:rsidRPr="68AAF936">
        <w:rPr>
          <w:rFonts w:eastAsia="Arial" w:cs="Arial"/>
          <w:b/>
          <w:bCs/>
          <w:kern w:val="2"/>
          <w14:ligatures w14:val="standardContextual"/>
        </w:rPr>
        <w:t>What recommendations has HMICFRS given around learning from misconduct cases?</w:t>
      </w:r>
    </w:p>
    <w:p w14:paraId="3CAE4508" w14:textId="77777777" w:rsidR="00DB7F3B" w:rsidRPr="00DB7F3B" w:rsidRDefault="7E4B1A9A" w:rsidP="68AAF936">
      <w:pPr>
        <w:numPr>
          <w:ilvl w:val="0"/>
          <w:numId w:val="7"/>
        </w:numPr>
        <w:spacing w:after="160" w:line="278" w:lineRule="auto"/>
        <w:contextualSpacing/>
        <w:rPr>
          <w:rFonts w:eastAsia="Arial" w:cs="Arial"/>
          <w:b/>
          <w:bCs/>
          <w:kern w:val="2"/>
          <w14:ligatures w14:val="standardContextual"/>
        </w:rPr>
      </w:pPr>
      <w:r w:rsidRPr="68AAF936">
        <w:rPr>
          <w:rFonts w:eastAsia="Arial" w:cs="Arial"/>
          <w:b/>
          <w:bCs/>
          <w:kern w:val="2"/>
          <w14:ligatures w14:val="standardContextual"/>
        </w:rPr>
        <w:t>Glossary of key terms</w:t>
      </w:r>
    </w:p>
    <w:p w14:paraId="049B071F" w14:textId="77777777" w:rsidR="00DB7F3B" w:rsidRPr="00DB7F3B" w:rsidRDefault="7E4B1A9A" w:rsidP="68AAF936">
      <w:pPr>
        <w:numPr>
          <w:ilvl w:val="0"/>
          <w:numId w:val="7"/>
        </w:numPr>
        <w:spacing w:after="160" w:line="278" w:lineRule="auto"/>
        <w:contextualSpacing/>
        <w:rPr>
          <w:rFonts w:eastAsia="Arial" w:cs="Arial"/>
          <w:kern w:val="2"/>
          <w14:ligatures w14:val="standardContextual"/>
        </w:rPr>
      </w:pPr>
      <w:r w:rsidRPr="68AAF936">
        <w:rPr>
          <w:rFonts w:eastAsia="Arial" w:cs="Arial"/>
          <w:b/>
          <w:bCs/>
          <w:kern w:val="2"/>
          <w14:ligatures w14:val="standardContextual"/>
        </w:rPr>
        <w:t>Key principles</w:t>
      </w:r>
    </w:p>
    <w:p w14:paraId="4A6CE11D" w14:textId="77777777" w:rsidR="00DB7F3B" w:rsidRPr="00DB7F3B" w:rsidRDefault="7E4B1A9A" w:rsidP="68AAF936">
      <w:pPr>
        <w:numPr>
          <w:ilvl w:val="1"/>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Organisational Learning</w:t>
      </w:r>
    </w:p>
    <w:p w14:paraId="4E04FFDC" w14:textId="77777777" w:rsidR="00DB7F3B" w:rsidRPr="00DB7F3B" w:rsidRDefault="7E4B1A9A" w:rsidP="68AAF936">
      <w:pPr>
        <w:numPr>
          <w:ilvl w:val="1"/>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Legal compliance and data protection</w:t>
      </w:r>
    </w:p>
    <w:p w14:paraId="30D86B19" w14:textId="77777777" w:rsidR="00DB7F3B" w:rsidRPr="00DB7F3B" w:rsidRDefault="7E4B1A9A" w:rsidP="68AAF936">
      <w:pPr>
        <w:numPr>
          <w:ilvl w:val="2"/>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Two-stage identifiability tests (for all learning) </w:t>
      </w:r>
    </w:p>
    <w:p w14:paraId="79915F31" w14:textId="77777777" w:rsidR="00DB7F3B" w:rsidRPr="00DB7F3B" w:rsidRDefault="7E4B1A9A" w:rsidP="68AAF936">
      <w:pPr>
        <w:numPr>
          <w:ilvl w:val="2"/>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Data protection for sharing learning internally</w:t>
      </w:r>
    </w:p>
    <w:p w14:paraId="58FDD515" w14:textId="77777777" w:rsidR="00DB7F3B" w:rsidRPr="00DB7F3B" w:rsidRDefault="7E4B1A9A" w:rsidP="68AAF936">
      <w:pPr>
        <w:numPr>
          <w:ilvl w:val="2"/>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Data protection for sharing learning externally</w:t>
      </w:r>
    </w:p>
    <w:p w14:paraId="1CE47141" w14:textId="77777777" w:rsidR="00DB7F3B" w:rsidRPr="00DB7F3B" w:rsidRDefault="7E4B1A9A" w:rsidP="68AAF936">
      <w:pPr>
        <w:numPr>
          <w:ilvl w:val="1"/>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Accountabilities, assurance, and implementation</w:t>
      </w:r>
    </w:p>
    <w:p w14:paraId="02D9904D" w14:textId="77777777" w:rsidR="00DB7F3B" w:rsidRPr="00DB7F3B" w:rsidRDefault="7E4B1A9A" w:rsidP="68AAF936">
      <w:pPr>
        <w:numPr>
          <w:ilvl w:val="1"/>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Live cases and cases involve criminal or safeguarding investigations</w:t>
      </w:r>
    </w:p>
    <w:p w14:paraId="6F818A99" w14:textId="77777777" w:rsidR="00DB7F3B" w:rsidRPr="00DB7F3B" w:rsidRDefault="7E4B1A9A" w:rsidP="68AAF936">
      <w:pPr>
        <w:numPr>
          <w:ilvl w:val="2"/>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Sharing urgent, critical information during a live case</w:t>
      </w:r>
    </w:p>
    <w:p w14:paraId="57AF0B5D" w14:textId="77777777" w:rsidR="00DB7F3B" w:rsidRPr="00DB7F3B" w:rsidRDefault="7E4B1A9A" w:rsidP="68AAF936">
      <w:pPr>
        <w:numPr>
          <w:ilvl w:val="1"/>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Wellbeing considerations</w:t>
      </w:r>
    </w:p>
    <w:p w14:paraId="7153E266" w14:textId="77777777" w:rsidR="00DB7F3B" w:rsidRPr="00DB7F3B" w:rsidRDefault="7E4B1A9A" w:rsidP="68AAF936">
      <w:pPr>
        <w:numPr>
          <w:ilvl w:val="0"/>
          <w:numId w:val="7"/>
        </w:numPr>
        <w:spacing w:after="160" w:line="278" w:lineRule="auto"/>
        <w:contextualSpacing/>
        <w:rPr>
          <w:rFonts w:eastAsia="Arial" w:cs="Arial"/>
          <w:kern w:val="2"/>
          <w14:ligatures w14:val="standardContextual"/>
        </w:rPr>
      </w:pPr>
      <w:r w:rsidRPr="68AAF936">
        <w:rPr>
          <w:rFonts w:eastAsia="Arial" w:cs="Arial"/>
          <w:b/>
          <w:bCs/>
          <w:kern w:val="2"/>
          <w14:ligatures w14:val="standardContextual"/>
        </w:rPr>
        <w:t>Capturing and identifying learning</w:t>
      </w:r>
    </w:p>
    <w:p w14:paraId="3A21474F" w14:textId="77777777" w:rsidR="00DB7F3B" w:rsidRPr="00DB7F3B" w:rsidRDefault="7E4B1A9A" w:rsidP="68AAF936">
      <w:pPr>
        <w:numPr>
          <w:ilvl w:val="1"/>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Continuous learning approach</w:t>
      </w:r>
    </w:p>
    <w:p w14:paraId="29B97D0A" w14:textId="77777777" w:rsidR="00DB7F3B" w:rsidRPr="00DB7F3B" w:rsidRDefault="7E4B1A9A" w:rsidP="68AAF936">
      <w:pPr>
        <w:numPr>
          <w:ilvl w:val="1"/>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Organisational Learning ‘bowtie method’</w:t>
      </w:r>
    </w:p>
    <w:p w14:paraId="4BFEAC38" w14:textId="77777777" w:rsidR="00DB7F3B" w:rsidRPr="00DB7F3B" w:rsidRDefault="7E4B1A9A" w:rsidP="68AAF936">
      <w:pPr>
        <w:numPr>
          <w:ilvl w:val="1"/>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Effective learning analysis </w:t>
      </w:r>
    </w:p>
    <w:p w14:paraId="0421B40B" w14:textId="77777777" w:rsidR="00DB7F3B" w:rsidRPr="00DB7F3B" w:rsidRDefault="7E4B1A9A" w:rsidP="68AAF936">
      <w:pPr>
        <w:numPr>
          <w:ilvl w:val="1"/>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Learning themes that may result from misconduct cases</w:t>
      </w:r>
    </w:p>
    <w:p w14:paraId="1C04B95A" w14:textId="77777777" w:rsidR="00DB7F3B" w:rsidRPr="00DB7F3B" w:rsidRDefault="7E4B1A9A" w:rsidP="68AAF936">
      <w:pPr>
        <w:numPr>
          <w:ilvl w:val="0"/>
          <w:numId w:val="7"/>
        </w:numPr>
        <w:spacing w:after="160" w:line="278" w:lineRule="auto"/>
        <w:contextualSpacing/>
        <w:rPr>
          <w:rFonts w:eastAsia="Arial" w:cs="Arial"/>
          <w:kern w:val="2"/>
          <w14:ligatures w14:val="standardContextual"/>
        </w:rPr>
      </w:pPr>
      <w:r w:rsidRPr="68AAF936">
        <w:rPr>
          <w:rFonts w:eastAsia="Arial" w:cs="Arial"/>
          <w:b/>
          <w:bCs/>
          <w:kern w:val="2"/>
          <w14:ligatures w14:val="standardContextual"/>
        </w:rPr>
        <w:t>Sharing learning</w:t>
      </w:r>
    </w:p>
    <w:p w14:paraId="7C4783BD" w14:textId="77777777" w:rsidR="00DB7F3B" w:rsidRPr="00DB7F3B" w:rsidRDefault="7E4B1A9A" w:rsidP="68AAF936">
      <w:pPr>
        <w:numPr>
          <w:ilvl w:val="1"/>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Safe sharing checklist</w:t>
      </w:r>
    </w:p>
    <w:p w14:paraId="5E95E5E4" w14:textId="77777777" w:rsidR="00DB7F3B" w:rsidRPr="00DB7F3B" w:rsidRDefault="7E4B1A9A" w:rsidP="68AAF936">
      <w:pPr>
        <w:numPr>
          <w:ilvl w:val="1"/>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Sharing learning with NFCC and other UK fire and rescue services</w:t>
      </w:r>
    </w:p>
    <w:p w14:paraId="37A13BF6" w14:textId="77777777" w:rsidR="00DB7F3B" w:rsidRPr="00DB7F3B" w:rsidRDefault="7E4B1A9A" w:rsidP="68AAF936">
      <w:pPr>
        <w:numPr>
          <w:ilvl w:val="1"/>
          <w:numId w:val="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Sharing learning internally within a service</w:t>
      </w:r>
    </w:p>
    <w:p w14:paraId="3F8627EE" w14:textId="77777777" w:rsidR="00DB7F3B" w:rsidRPr="00DB7F3B" w:rsidRDefault="7E4B1A9A" w:rsidP="68AAF936">
      <w:pPr>
        <w:numPr>
          <w:ilvl w:val="0"/>
          <w:numId w:val="7"/>
        </w:numPr>
        <w:spacing w:after="160" w:line="278" w:lineRule="auto"/>
        <w:contextualSpacing/>
        <w:rPr>
          <w:rFonts w:eastAsia="Arial" w:cs="Arial"/>
          <w:b/>
          <w:bCs/>
          <w:kern w:val="2"/>
          <w14:ligatures w14:val="standardContextual"/>
        </w:rPr>
      </w:pPr>
      <w:r w:rsidRPr="68AAF936">
        <w:rPr>
          <w:rFonts w:eastAsia="Arial" w:cs="Arial"/>
          <w:b/>
          <w:bCs/>
          <w:kern w:val="2"/>
          <w14:ligatures w14:val="standardContextual"/>
        </w:rPr>
        <w:t>Appendix and references</w:t>
      </w:r>
    </w:p>
    <w:p w14:paraId="18B6ADF4"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333C30F9" w14:textId="77777777" w:rsidR="00DB7F3B" w:rsidRPr="00DB7F3B" w:rsidRDefault="7E4B1A9A" w:rsidP="68AAF936">
      <w:pPr>
        <w:pStyle w:val="Heading2"/>
        <w:rPr>
          <w:rFonts w:eastAsia="Arial"/>
        </w:rPr>
      </w:pPr>
      <w:r w:rsidRPr="68AAF936">
        <w:rPr>
          <w:rFonts w:eastAsia="Arial"/>
        </w:rPr>
        <w:t>1. Who is this guidance for</w:t>
      </w:r>
    </w:p>
    <w:p w14:paraId="272F974D"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This guidance is designed to support services in safely identifying and sharing learning from misconduct cases. Who has the responsibility for identifying and sharing learning from misconduct can differ from service to service, and this can involve a number of different roles. </w:t>
      </w:r>
    </w:p>
    <w:p w14:paraId="67CC2C74"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This guidance is for colleagues who </w:t>
      </w:r>
      <w:bookmarkStart w:id="0" w:name="_Int_HBXIEMfg"/>
      <w:r w:rsidRPr="68AAF936">
        <w:rPr>
          <w:rFonts w:eastAsia="Arial" w:cs="Arial"/>
          <w:kern w:val="2"/>
          <w14:ligatures w14:val="standardContextual"/>
        </w:rPr>
        <w:t>have any involve</w:t>
      </w:r>
      <w:bookmarkEnd w:id="0"/>
      <w:r w:rsidRPr="68AAF936">
        <w:rPr>
          <w:rFonts w:eastAsia="Arial" w:cs="Arial"/>
          <w:kern w:val="2"/>
          <w14:ligatures w14:val="standardContextual"/>
        </w:rPr>
        <w:t xml:space="preserve">ment or responsibility in the identification, sharing, or authorisation of learnings from misconduct.  </w:t>
      </w:r>
    </w:p>
    <w:p w14:paraId="1ED242EC"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This includes, but is not limited to: </w:t>
      </w:r>
    </w:p>
    <w:p w14:paraId="035E16FA" w14:textId="77777777" w:rsidR="00DB7F3B" w:rsidRPr="00DB7F3B" w:rsidRDefault="7E4B1A9A" w:rsidP="68AAF936">
      <w:pPr>
        <w:numPr>
          <w:ilvl w:val="0"/>
          <w:numId w:val="25"/>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senior leaders with responsibility for managing misconduct matters </w:t>
      </w:r>
    </w:p>
    <w:p w14:paraId="4BA433FC" w14:textId="77777777" w:rsidR="00DB7F3B" w:rsidRPr="00DB7F3B" w:rsidRDefault="7E4B1A9A" w:rsidP="68AAF936">
      <w:pPr>
        <w:numPr>
          <w:ilvl w:val="0"/>
          <w:numId w:val="25"/>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professional standards and conduct leads </w:t>
      </w:r>
    </w:p>
    <w:p w14:paraId="756B291A" w14:textId="77777777" w:rsidR="00DB7F3B" w:rsidRPr="00DB7F3B" w:rsidRDefault="7E4B1A9A" w:rsidP="68AAF936">
      <w:pPr>
        <w:numPr>
          <w:ilvl w:val="0"/>
          <w:numId w:val="25"/>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professional standards practitioners (including HR, employee relations, and professional standards teams) </w:t>
      </w:r>
    </w:p>
    <w:p w14:paraId="2B14D37E" w14:textId="77777777" w:rsidR="00DB7F3B" w:rsidRPr="00DB7F3B" w:rsidRDefault="7E4B1A9A" w:rsidP="68AAF936">
      <w:pPr>
        <w:numPr>
          <w:ilvl w:val="0"/>
          <w:numId w:val="25"/>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information governance teams </w:t>
      </w:r>
    </w:p>
    <w:p w14:paraId="590244CA" w14:textId="773E8983" w:rsidR="00DB7F3B" w:rsidRPr="00DB7F3B" w:rsidRDefault="7E4B1A9A" w:rsidP="68AAF936">
      <w:pPr>
        <w:numPr>
          <w:ilvl w:val="0"/>
          <w:numId w:val="25"/>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data protection </w:t>
      </w:r>
      <w:r w:rsidR="56795C0B" w:rsidRPr="68AAF936">
        <w:rPr>
          <w:rFonts w:eastAsia="Arial" w:cs="Arial"/>
          <w:kern w:val="2"/>
          <w14:ligatures w14:val="standardContextual"/>
        </w:rPr>
        <w:t>o</w:t>
      </w:r>
      <w:r w:rsidRPr="68AAF936">
        <w:rPr>
          <w:rFonts w:eastAsia="Arial" w:cs="Arial"/>
          <w:kern w:val="2"/>
          <w14:ligatures w14:val="standardContextual"/>
        </w:rPr>
        <w:t xml:space="preserve">fficers </w:t>
      </w:r>
    </w:p>
    <w:p w14:paraId="4715E62E" w14:textId="77777777" w:rsidR="00DB7F3B" w:rsidRPr="00DB7F3B" w:rsidRDefault="7E4B1A9A" w:rsidP="68AAF936">
      <w:pPr>
        <w:numPr>
          <w:ilvl w:val="0"/>
          <w:numId w:val="25"/>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legal teams </w:t>
      </w:r>
    </w:p>
    <w:p w14:paraId="2E2C42A9" w14:textId="77777777" w:rsidR="00DB7F3B" w:rsidRPr="00DB7F3B" w:rsidRDefault="7E4B1A9A" w:rsidP="68AAF936">
      <w:pPr>
        <w:numPr>
          <w:ilvl w:val="0"/>
          <w:numId w:val="25"/>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communications teams </w:t>
      </w:r>
    </w:p>
    <w:p w14:paraId="73061FF6"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Services should ensure that the appropriate authorisation has been given to identify and share learning from misconduct cases. It is up to services to determine their own internal governance </w:t>
      </w:r>
      <w:r w:rsidRPr="68AAF936">
        <w:rPr>
          <w:rFonts w:eastAsia="Arial" w:cs="Arial"/>
          <w:kern w:val="2"/>
          <w14:ligatures w14:val="standardContextual"/>
        </w:rPr>
        <w:lastRenderedPageBreak/>
        <w:t xml:space="preserve">arrangements to ensure that an appropriate authorisation route is established, and that accountabilities and responsibilities are clear. </w:t>
      </w:r>
    </w:p>
    <w:p w14:paraId="4D052703"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 </w:t>
      </w:r>
    </w:p>
    <w:p w14:paraId="59B687AA" w14:textId="77777777" w:rsidR="00DB7F3B" w:rsidRPr="00DB7F3B" w:rsidRDefault="7E4B1A9A" w:rsidP="68AAF936">
      <w:pPr>
        <w:pStyle w:val="Heading2"/>
        <w:rPr>
          <w:rFonts w:eastAsia="Arial"/>
        </w:rPr>
      </w:pPr>
      <w:r w:rsidRPr="68AAF936">
        <w:rPr>
          <w:rFonts w:eastAsia="Arial"/>
        </w:rPr>
        <w:t xml:space="preserve">2. How to use this guidance </w:t>
      </w:r>
    </w:p>
    <w:p w14:paraId="4A7F5BF9"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When read from beginning to end, this guidance will support services in safely identifying and sharing learning from misconduct.  </w:t>
      </w:r>
    </w:p>
    <w:p w14:paraId="12F849C9"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How services use this guidance may differ depending on whether they are developing, looking to develop, or have already established a framework for identifying and sharing learning from misconduct.  </w:t>
      </w:r>
    </w:p>
    <w:p w14:paraId="5A334DD4"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This guidance refers to key principles of employment and data protection law. These principles require services to engage with their colleagues across professional standards and information governance to ensure that all legal requirements are met in this space. Where appropriate, services may also wish to seek legal advice to ensure they are meeting their obligations when identifying or sharing learning from misconduct. </w:t>
      </w:r>
    </w:p>
    <w:p w14:paraId="7D3DA57D"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This guidance does not constitute legal advice, and services are advised to seek their own independent legal advice where they require further guidance to the law in this space.</w:t>
      </w:r>
    </w:p>
    <w:p w14:paraId="4102A6B2" w14:textId="77777777" w:rsidR="00DB7F3B" w:rsidRPr="00DB7F3B" w:rsidRDefault="00DB7F3B" w:rsidP="68AAF936">
      <w:pPr>
        <w:spacing w:after="160" w:line="278" w:lineRule="auto"/>
        <w:rPr>
          <w:rFonts w:eastAsia="Arial" w:cs="Arial"/>
          <w:kern w:val="2"/>
          <w14:ligatures w14:val="standardContextual"/>
        </w:rPr>
      </w:pPr>
    </w:p>
    <w:p w14:paraId="1DC1BEED" w14:textId="77777777" w:rsidR="00DB7F3B" w:rsidRPr="00DB7F3B" w:rsidRDefault="7E4B1A9A" w:rsidP="68AAF936">
      <w:pPr>
        <w:pStyle w:val="Heading2"/>
        <w:rPr>
          <w:rFonts w:eastAsia="Arial"/>
        </w:rPr>
      </w:pPr>
      <w:r w:rsidRPr="68AAF936">
        <w:rPr>
          <w:rFonts w:eastAsia="Arial"/>
        </w:rPr>
        <w:t>3. Why should services identify and share learning from misconduct?</w:t>
      </w:r>
    </w:p>
    <w:p w14:paraId="2CC64FC8"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Identifying and sharing learning from misconduct cases benefits fire and rescue services on multiple levels. </w:t>
      </w:r>
    </w:p>
    <w:p w14:paraId="4EEF82A6"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Learning how misconduct cases are raised, prevented, and informally or formally managed in a service can improve that service’s management of future cases. Learnings could result in changes to: </w:t>
      </w:r>
    </w:p>
    <w:p w14:paraId="5573EFB9" w14:textId="77777777" w:rsidR="00DB7F3B" w:rsidRPr="00DB7F3B" w:rsidRDefault="7E4B1A9A" w:rsidP="68AAF936">
      <w:pPr>
        <w:numPr>
          <w:ilvl w:val="0"/>
          <w:numId w:val="10"/>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policies</w:t>
      </w:r>
    </w:p>
    <w:p w14:paraId="5BC068BE" w14:textId="77777777" w:rsidR="00DB7F3B" w:rsidRPr="00DB7F3B" w:rsidRDefault="7E4B1A9A" w:rsidP="68AAF936">
      <w:pPr>
        <w:numPr>
          <w:ilvl w:val="0"/>
          <w:numId w:val="10"/>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training</w:t>
      </w:r>
    </w:p>
    <w:p w14:paraId="7F7F275F" w14:textId="77777777" w:rsidR="00DB7F3B" w:rsidRPr="00DB7F3B" w:rsidRDefault="7E4B1A9A" w:rsidP="68AAF936">
      <w:pPr>
        <w:numPr>
          <w:ilvl w:val="0"/>
          <w:numId w:val="10"/>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guidance</w:t>
      </w:r>
    </w:p>
    <w:p w14:paraId="4C166C5C" w14:textId="77777777" w:rsidR="00DB7F3B" w:rsidRDefault="7E4B1A9A" w:rsidP="68AAF936">
      <w:pPr>
        <w:numPr>
          <w:ilvl w:val="0"/>
          <w:numId w:val="10"/>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procedures</w:t>
      </w:r>
    </w:p>
    <w:p w14:paraId="3F40D714" w14:textId="77777777" w:rsidR="00D86590" w:rsidRPr="00DB7F3B" w:rsidRDefault="00D86590" w:rsidP="68AAF936">
      <w:pPr>
        <w:spacing w:after="160" w:line="278" w:lineRule="auto"/>
        <w:ind w:left="720"/>
        <w:contextualSpacing/>
        <w:rPr>
          <w:rFonts w:eastAsia="Arial" w:cs="Arial"/>
          <w:kern w:val="2"/>
          <w14:ligatures w14:val="standardContextual"/>
        </w:rPr>
      </w:pPr>
    </w:p>
    <w:p w14:paraId="1347E136"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Preventing and effectively handling misconduct cases supports the safety and wellbeing of employees and enables effective operational activity. Effective operational activity helps keep members of the public safe. </w:t>
      </w:r>
    </w:p>
    <w:p w14:paraId="47979BA6"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On a service level, learning from misconduct cases helps to identify cultural patterns, trends, and issues. If a service commits to actively learn from misconduct cases, they can also build greater trust in their organisational processes and create a culture that embeds </w:t>
      </w:r>
      <w:hyperlink r:id="rId11" w:history="1">
        <w:r w:rsidRPr="68AAF936">
          <w:rPr>
            <w:rFonts w:eastAsia="Arial" w:cs="Arial"/>
            <w:color w:val="467886"/>
            <w:kern w:val="2"/>
            <w:u w:val="single"/>
            <w14:ligatures w14:val="standardContextual"/>
          </w:rPr>
          <w:t>the Core Code of Ethics.</w:t>
        </w:r>
      </w:hyperlink>
    </w:p>
    <w:p w14:paraId="1E3B10A4"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On a sector-wide basis, sharing learning across fire and rescue services allows Organisational Learning to create a positive impact across the whole sector. It can also facilitate greater collaboration, safety, and improvement for all UK fire and rescue services, their workforce, and the communities that they serve. </w:t>
      </w:r>
    </w:p>
    <w:p w14:paraId="5AFA152E" w14:textId="77777777" w:rsidR="00DB7F3B" w:rsidRPr="00DB7F3B" w:rsidRDefault="00DB7F3B" w:rsidP="68AAF936">
      <w:pPr>
        <w:spacing w:after="160" w:line="278" w:lineRule="auto"/>
        <w:rPr>
          <w:rFonts w:eastAsia="Arial" w:cs="Arial"/>
          <w:b/>
          <w:bCs/>
          <w:kern w:val="2"/>
          <w14:ligatures w14:val="standardContextual"/>
        </w:rPr>
      </w:pPr>
    </w:p>
    <w:p w14:paraId="470B68FE" w14:textId="77777777" w:rsidR="00DB7F3B" w:rsidRPr="00DB7F3B" w:rsidRDefault="7E4B1A9A" w:rsidP="68AAF936">
      <w:pPr>
        <w:pStyle w:val="Heading2"/>
        <w:rPr>
          <w:rFonts w:eastAsia="Arial"/>
        </w:rPr>
      </w:pPr>
      <w:r w:rsidRPr="68AAF936">
        <w:rPr>
          <w:rFonts w:eastAsia="Arial"/>
        </w:rPr>
        <w:t>4. What recommendations has HMICFRS given around learning from misconduct cases?</w:t>
      </w:r>
    </w:p>
    <w:p w14:paraId="1BC7A59A"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In its 2024 report titled </w:t>
      </w:r>
      <w:hyperlink r:id="rId12" w:history="1">
        <w:r w:rsidRPr="68AAF936">
          <w:rPr>
            <w:rFonts w:eastAsia="Arial" w:cs="Arial"/>
            <w:color w:val="467886"/>
            <w:kern w:val="2"/>
            <w:u w:val="single"/>
            <w14:ligatures w14:val="standardContextual"/>
          </w:rPr>
          <w:t>Standards of behaviour: The handling of misconduct in fire and rescue services</w:t>
        </w:r>
      </w:hyperlink>
      <w:r w:rsidRPr="68AAF936">
        <w:rPr>
          <w:rFonts w:eastAsia="Arial" w:cs="Arial"/>
          <w:kern w:val="2"/>
          <w14:ligatures w14:val="standardContextual"/>
        </w:rPr>
        <w:t xml:space="preserve">, His Majesty’s Inspectorate of Constabulary and Fire &amp; Rescue Services (HMICFRS) set out a number of recommendations for UK fire and rescue services on their handling of misconduct. </w:t>
      </w:r>
    </w:p>
    <w:p w14:paraId="5528C9CE"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Recommendations 14 and 15 directly relate to how services should be actively identifying and sharing learning from misconduct cases.</w:t>
      </w:r>
    </w:p>
    <w:p w14:paraId="18D2BAE8"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Recommendation 14 recommends that services should have a process that supports the oversight and scrutiny of their performance on misconduct issues.  </w:t>
      </w:r>
    </w:p>
    <w:p w14:paraId="67590C4D"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"This process should provide:</w:t>
      </w:r>
    </w:p>
    <w:p w14:paraId="5E39E4C0" w14:textId="77777777" w:rsidR="00DB7F3B" w:rsidRPr="00DB7F3B" w:rsidRDefault="7E4B1A9A" w:rsidP="68AAF936">
      <w:pPr>
        <w:numPr>
          <w:ilvl w:val="0"/>
          <w:numId w:val="3"/>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a strategic overview of performance and analysis of trends, including disproportionality;</w:t>
      </w:r>
    </w:p>
    <w:p w14:paraId="6E098079" w14:textId="77777777" w:rsidR="00DB7F3B" w:rsidRPr="00DB7F3B" w:rsidRDefault="7E4B1A9A" w:rsidP="68AAF936">
      <w:pPr>
        <w:numPr>
          <w:ilvl w:val="0"/>
          <w:numId w:val="3"/>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regular reporting of issues, outcomes and trends to the fire and rescue authority; and</w:t>
      </w:r>
    </w:p>
    <w:p w14:paraId="7D92A348" w14:textId="77777777" w:rsidR="00DB7F3B" w:rsidRDefault="7E4B1A9A" w:rsidP="68AAF936">
      <w:pPr>
        <w:numPr>
          <w:ilvl w:val="0"/>
          <w:numId w:val="3"/>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identification of learning outcomes and how they will be shared with fire and rescue service staff, to prevent repeat behaviours."</w:t>
      </w:r>
    </w:p>
    <w:p w14:paraId="3B142856" w14:textId="77777777" w:rsidR="00D86590" w:rsidRPr="00DB7F3B" w:rsidRDefault="00D86590" w:rsidP="68AAF936">
      <w:pPr>
        <w:spacing w:after="160" w:line="278" w:lineRule="auto"/>
        <w:ind w:left="720"/>
        <w:contextualSpacing/>
        <w:rPr>
          <w:rFonts w:eastAsia="Arial" w:cs="Arial"/>
          <w:kern w:val="2"/>
          <w14:ligatures w14:val="standardContextual"/>
        </w:rPr>
      </w:pPr>
    </w:p>
    <w:p w14:paraId="7D8EEEC6"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Recommendation 15 recommends that services should have a process in place "for sharing learning from misconduct cases that have been resolved while preserving the confidentiality of all parties involved. Any learning should feed into the national system, when established."</w:t>
      </w:r>
    </w:p>
    <w:p w14:paraId="6F6B183D" w14:textId="77777777" w:rsidR="00DB7F3B" w:rsidRPr="00DB7F3B" w:rsidRDefault="00DB7F3B" w:rsidP="68AAF936">
      <w:pPr>
        <w:spacing w:after="160" w:line="278" w:lineRule="auto"/>
        <w:rPr>
          <w:rFonts w:eastAsia="Arial" w:cs="Arial"/>
          <w:kern w:val="2"/>
          <w14:ligatures w14:val="standardContextual"/>
        </w:rPr>
      </w:pPr>
    </w:p>
    <w:p w14:paraId="7A8DD52B" w14:textId="77777777" w:rsidR="00DB7F3B" w:rsidRPr="00DB7F3B" w:rsidRDefault="7E4B1A9A" w:rsidP="68AAF936">
      <w:pPr>
        <w:pStyle w:val="Heading2"/>
        <w:rPr>
          <w:rFonts w:eastAsia="Arial"/>
        </w:rPr>
      </w:pPr>
      <w:r w:rsidRPr="68AAF936">
        <w:rPr>
          <w:rFonts w:eastAsia="Arial"/>
        </w:rPr>
        <w:t>5. Glossary of key terms</w:t>
      </w:r>
    </w:p>
    <w:p w14:paraId="2E37B9F3" w14:textId="77777777" w:rsidR="00DB7F3B" w:rsidRPr="00DB7F3B" w:rsidRDefault="00DB7F3B" w:rsidP="68AAF936">
      <w:pPr>
        <w:shd w:val="clear" w:color="auto" w:fill="FFFFFF" w:themeFill="background1"/>
        <w:spacing w:after="0" w:line="300" w:lineRule="auto"/>
        <w:rPr>
          <w:rFonts w:eastAsia="Arial" w:cs="Arial"/>
          <w:b/>
          <w:bCs/>
          <w:color w:val="000000"/>
          <w:kern w:val="2"/>
          <w14:ligatures w14:val="standardContextual"/>
        </w:rPr>
      </w:pPr>
    </w:p>
    <w:p w14:paraId="2AE56556" w14:textId="77777777" w:rsidR="00DB7F3B" w:rsidRPr="00DB7F3B" w:rsidRDefault="7E4B1A9A" w:rsidP="68AAF936">
      <w:pPr>
        <w:shd w:val="clear" w:color="auto" w:fill="FFFFFF" w:themeFill="background1"/>
        <w:spacing w:after="0" w:line="300" w:lineRule="auto"/>
        <w:rPr>
          <w:rFonts w:eastAsia="Arial" w:cs="Arial"/>
          <w:kern w:val="2"/>
          <w14:ligatures w14:val="standardContextual"/>
        </w:rPr>
      </w:pPr>
      <w:r w:rsidRPr="68AAF936">
        <w:rPr>
          <w:rFonts w:eastAsia="Arial" w:cs="Arial"/>
          <w:b/>
          <w:bCs/>
          <w:color w:val="000000"/>
          <w:kern w:val="2"/>
          <w14:ligatures w14:val="standardContextual"/>
        </w:rPr>
        <w:t>ICO (Information Commissioner's Office)</w:t>
      </w:r>
      <w:r w:rsidR="00DB7F3B">
        <w:br/>
      </w:r>
      <w:r w:rsidRPr="68AAF936">
        <w:rPr>
          <w:rFonts w:eastAsia="Arial" w:cs="Arial"/>
          <w:color w:val="000000"/>
          <w:kern w:val="2"/>
          <w14:ligatures w14:val="standardContextual"/>
        </w:rPr>
        <w:t>The UK's independent authority responsible for upholding information rights and regulating data protection legislation, including the UK General Data Protection Regulation (UK GDPR) and the Data Protection Act 2018. The ICO provides guidance on the lawful handling, sharing, and protection of personal information.</w:t>
      </w:r>
    </w:p>
    <w:p w14:paraId="3D6D67B6" w14:textId="77777777" w:rsidR="00DB7F3B" w:rsidRPr="00DB7F3B" w:rsidRDefault="00DB7F3B" w:rsidP="68AAF936">
      <w:pPr>
        <w:shd w:val="clear" w:color="auto" w:fill="FFFFFF" w:themeFill="background1"/>
        <w:spacing w:after="0" w:line="300" w:lineRule="auto"/>
        <w:rPr>
          <w:rFonts w:eastAsia="Arial" w:cs="Arial"/>
          <w:color w:val="000000"/>
          <w:kern w:val="2"/>
          <w14:ligatures w14:val="standardContextual"/>
        </w:rPr>
      </w:pPr>
    </w:p>
    <w:p w14:paraId="2930984C" w14:textId="77777777" w:rsidR="00DB7F3B" w:rsidRPr="00DB7F3B" w:rsidRDefault="7E4B1A9A" w:rsidP="68AAF936">
      <w:pPr>
        <w:shd w:val="clear" w:color="auto" w:fill="FFFFFF" w:themeFill="background1"/>
        <w:spacing w:after="0" w:line="300" w:lineRule="auto"/>
        <w:rPr>
          <w:rFonts w:eastAsia="Arial" w:cs="Arial"/>
          <w:kern w:val="2"/>
          <w14:ligatures w14:val="standardContextual"/>
        </w:rPr>
      </w:pPr>
      <w:r w:rsidRPr="68AAF936">
        <w:rPr>
          <w:rFonts w:eastAsia="Arial" w:cs="Arial"/>
          <w:b/>
          <w:bCs/>
          <w:color w:val="000000"/>
          <w:kern w:val="2"/>
          <w14:ligatures w14:val="standardContextual"/>
        </w:rPr>
        <w:t>DPO (Data Protection Officer)</w:t>
      </w:r>
      <w:r w:rsidR="00DB7F3B">
        <w:br/>
      </w:r>
      <w:r w:rsidRPr="68AAF936">
        <w:rPr>
          <w:rFonts w:eastAsia="Arial" w:cs="Arial"/>
          <w:color w:val="000000"/>
          <w:kern w:val="2"/>
          <w14:ligatures w14:val="standardContextual"/>
        </w:rPr>
        <w:t>An individual with responsibility for advising on data protection compliance, monitoring adherence to data protection requirements, and providing guidance on the appropriate handling and sharing of personal information. The DPO may be consulted when considering how learning from misconduct cases can be shared safely and lawfully.</w:t>
      </w:r>
    </w:p>
    <w:p w14:paraId="484F53A8" w14:textId="77777777" w:rsidR="00DB7F3B" w:rsidRPr="00DB7F3B" w:rsidRDefault="00DB7F3B" w:rsidP="68AAF936">
      <w:pPr>
        <w:shd w:val="clear" w:color="auto" w:fill="FFFFFF" w:themeFill="background1"/>
        <w:spacing w:after="0" w:line="300" w:lineRule="auto"/>
        <w:rPr>
          <w:rFonts w:eastAsia="Arial" w:cs="Arial"/>
          <w:color w:val="000000"/>
          <w:kern w:val="2"/>
          <w14:ligatures w14:val="standardContextual"/>
        </w:rPr>
      </w:pPr>
    </w:p>
    <w:p w14:paraId="264928C7" w14:textId="77777777" w:rsidR="00DB7F3B" w:rsidRPr="00DB7F3B" w:rsidRDefault="7E4B1A9A" w:rsidP="68AAF936">
      <w:pPr>
        <w:shd w:val="clear" w:color="auto" w:fill="FFFFFF" w:themeFill="background1"/>
        <w:spacing w:after="0" w:line="300" w:lineRule="auto"/>
        <w:rPr>
          <w:rFonts w:eastAsia="Arial" w:cs="Arial"/>
          <w:kern w:val="2"/>
          <w14:ligatures w14:val="standardContextual"/>
        </w:rPr>
      </w:pPr>
      <w:r w:rsidRPr="68AAF936">
        <w:rPr>
          <w:rFonts w:eastAsia="Arial" w:cs="Arial"/>
          <w:b/>
          <w:bCs/>
          <w:color w:val="000000"/>
          <w:kern w:val="2"/>
          <w14:ligatures w14:val="standardContextual"/>
        </w:rPr>
        <w:t>Learning culture</w:t>
      </w:r>
      <w:r w:rsidR="00DB7F3B">
        <w:br/>
      </w:r>
      <w:r w:rsidRPr="68AAF936">
        <w:rPr>
          <w:rFonts w:eastAsia="Arial" w:cs="Arial"/>
          <w:color w:val="000000"/>
          <w:kern w:val="2"/>
          <w14:ligatures w14:val="standardContextual"/>
        </w:rPr>
        <w:t>An organisational culture that encourages continuous improvement, reflection, knowledge sharing, and learning from experience. Within a learning culture, learning from misconduct cases are used to improve understanding, strengthen practice, and reduce the likelihood of recurrence while maintaining appropriate confidentiality.</w:t>
      </w:r>
    </w:p>
    <w:p w14:paraId="5FAE1E7A" w14:textId="77777777" w:rsidR="00DB7F3B" w:rsidRPr="00DB7F3B" w:rsidRDefault="00DB7F3B" w:rsidP="68AAF936">
      <w:pPr>
        <w:shd w:val="clear" w:color="auto" w:fill="FFFFFF" w:themeFill="background1"/>
        <w:spacing w:after="0" w:line="300" w:lineRule="auto"/>
        <w:rPr>
          <w:rFonts w:eastAsia="Arial" w:cs="Arial"/>
          <w:color w:val="000000"/>
          <w:kern w:val="2"/>
          <w14:ligatures w14:val="standardContextual"/>
        </w:rPr>
      </w:pPr>
    </w:p>
    <w:p w14:paraId="35D41366" w14:textId="77777777" w:rsidR="00DB7F3B" w:rsidRPr="00DB7F3B" w:rsidRDefault="7E4B1A9A" w:rsidP="68AAF936">
      <w:pPr>
        <w:shd w:val="clear" w:color="auto" w:fill="FFFFFF" w:themeFill="background1"/>
        <w:spacing w:after="0" w:line="300" w:lineRule="auto"/>
        <w:rPr>
          <w:rFonts w:eastAsia="Arial" w:cs="Arial"/>
          <w:kern w:val="2"/>
          <w14:ligatures w14:val="standardContextual"/>
        </w:rPr>
      </w:pPr>
      <w:r w:rsidRPr="68AAF936">
        <w:rPr>
          <w:rFonts w:eastAsia="Arial" w:cs="Arial"/>
          <w:b/>
          <w:bCs/>
          <w:color w:val="000000"/>
          <w:kern w:val="2"/>
          <w14:ligatures w14:val="standardContextual"/>
        </w:rPr>
        <w:t>Case debrief</w:t>
      </w:r>
      <w:r w:rsidR="00DB7F3B">
        <w:br/>
      </w:r>
      <w:r w:rsidRPr="68AAF936">
        <w:rPr>
          <w:rFonts w:eastAsia="Arial" w:cs="Arial"/>
          <w:color w:val="000000"/>
          <w:kern w:val="2"/>
          <w14:ligatures w14:val="standardContextual"/>
        </w:rPr>
        <w:t>A structured discussion held after the conclusion of a misconduct case to review how the case was handled, identify learning, consider opportunities for improvement, and agree any resulting actions.</w:t>
      </w:r>
    </w:p>
    <w:p w14:paraId="23F90B2B" w14:textId="77777777" w:rsidR="00DB7F3B" w:rsidRPr="00DB7F3B" w:rsidRDefault="00DB7F3B" w:rsidP="68AAF936">
      <w:pPr>
        <w:shd w:val="clear" w:color="auto" w:fill="FFFFFF" w:themeFill="background1"/>
        <w:spacing w:after="0" w:line="300" w:lineRule="auto"/>
        <w:rPr>
          <w:rFonts w:eastAsia="Arial" w:cs="Arial"/>
          <w:color w:val="000000"/>
          <w:kern w:val="2"/>
          <w14:ligatures w14:val="standardContextual"/>
        </w:rPr>
      </w:pPr>
    </w:p>
    <w:p w14:paraId="242E45AB" w14:textId="77777777" w:rsidR="00DB7F3B" w:rsidRPr="00DB7F3B" w:rsidRDefault="7E4B1A9A" w:rsidP="68AAF936">
      <w:pPr>
        <w:shd w:val="clear" w:color="auto" w:fill="FFFFFF" w:themeFill="background1"/>
        <w:spacing w:after="0" w:line="300" w:lineRule="auto"/>
        <w:rPr>
          <w:rFonts w:eastAsia="Arial" w:cs="Arial"/>
          <w:kern w:val="2"/>
          <w14:ligatures w14:val="standardContextual"/>
        </w:rPr>
      </w:pPr>
      <w:r w:rsidRPr="68AAF936">
        <w:rPr>
          <w:rFonts w:eastAsia="Arial" w:cs="Arial"/>
          <w:b/>
          <w:bCs/>
          <w:color w:val="000000"/>
          <w:kern w:val="2"/>
          <w14:ligatures w14:val="standardContextual"/>
        </w:rPr>
        <w:t>Identification by jigsaw</w:t>
      </w:r>
    </w:p>
    <w:p w14:paraId="1E336AD1" w14:textId="77777777" w:rsidR="00DB7F3B" w:rsidRPr="00DB7F3B" w:rsidRDefault="7E4B1A9A" w:rsidP="68AAF936">
      <w:pPr>
        <w:shd w:val="clear" w:color="auto" w:fill="FFFFFF" w:themeFill="background1"/>
        <w:spacing w:after="0" w:line="300" w:lineRule="auto"/>
        <w:rPr>
          <w:rFonts w:eastAsia="Arial" w:cs="Arial"/>
          <w:color w:val="000000"/>
          <w:kern w:val="2"/>
          <w14:ligatures w14:val="standardContextual"/>
        </w:rPr>
      </w:pPr>
      <w:r w:rsidRPr="68AAF936">
        <w:rPr>
          <w:rFonts w:eastAsia="Arial" w:cs="Arial"/>
          <w:color w:val="000000"/>
          <w:kern w:val="2"/>
          <w14:ligatures w14:val="standardContextual"/>
        </w:rPr>
        <w:t>An anonymisation concept whereby an individual is identified by combining several pieces of information that, read on their own, would not identify that individual. The risk of jigsaw identification should always be considered when anonymising misconduct learning.</w:t>
      </w:r>
    </w:p>
    <w:p w14:paraId="3595A885" w14:textId="77777777" w:rsidR="00DB7F3B" w:rsidRPr="00DB7F3B" w:rsidRDefault="00DB7F3B" w:rsidP="68AAF936">
      <w:pPr>
        <w:shd w:val="clear" w:color="auto" w:fill="FFFFFF" w:themeFill="background1"/>
        <w:spacing w:after="0" w:line="300" w:lineRule="auto"/>
        <w:rPr>
          <w:rFonts w:eastAsia="Arial" w:cs="Arial"/>
          <w:color w:val="000000"/>
          <w:kern w:val="2"/>
          <w14:ligatures w14:val="standardContextual"/>
        </w:rPr>
      </w:pPr>
    </w:p>
    <w:p w14:paraId="496ED2ED" w14:textId="77777777" w:rsidR="00DB7F3B" w:rsidRPr="00DB7F3B" w:rsidRDefault="00DB7F3B" w:rsidP="68AAF936">
      <w:pPr>
        <w:spacing w:after="160" w:line="278" w:lineRule="auto"/>
        <w:rPr>
          <w:rFonts w:eastAsia="Arial" w:cs="Arial"/>
          <w:kern w:val="2"/>
          <w14:ligatures w14:val="standardContextual"/>
        </w:rPr>
      </w:pPr>
    </w:p>
    <w:p w14:paraId="3B9EBB6B" w14:textId="77777777" w:rsidR="00DB7F3B" w:rsidRPr="00DB7F3B" w:rsidRDefault="7E4B1A9A" w:rsidP="68AAF936">
      <w:pPr>
        <w:pStyle w:val="Heading2"/>
        <w:rPr>
          <w:rFonts w:eastAsia="Arial"/>
          <w:color w:val="0F4761"/>
        </w:rPr>
      </w:pPr>
      <w:r w:rsidRPr="68AAF936">
        <w:rPr>
          <w:rFonts w:eastAsia="Arial"/>
        </w:rPr>
        <w:t xml:space="preserve">6. Key Principles </w:t>
      </w:r>
    </w:p>
    <w:p w14:paraId="5388D23C" w14:textId="77777777" w:rsidR="00DB7F3B" w:rsidRPr="00DB7F3B" w:rsidRDefault="00DB7F3B" w:rsidP="68AAF936">
      <w:pPr>
        <w:spacing w:after="160" w:line="278" w:lineRule="auto"/>
        <w:rPr>
          <w:rFonts w:eastAsia="Arial" w:cs="Arial"/>
          <w:b/>
          <w:bCs/>
          <w:kern w:val="2"/>
          <w:sz w:val="28"/>
          <w:szCs w:val="28"/>
          <w14:ligatures w14:val="standardContextual"/>
        </w:rPr>
      </w:pPr>
    </w:p>
    <w:p w14:paraId="42F623E2" w14:textId="77777777" w:rsidR="00DB7F3B" w:rsidRPr="00DB7F3B" w:rsidRDefault="7E4B1A9A" w:rsidP="68AAF936">
      <w:pPr>
        <w:pStyle w:val="Heading3"/>
        <w:rPr>
          <w:rFonts w:eastAsia="Arial" w:cs="Arial"/>
          <w:color w:val="0F4761"/>
          <w:sz w:val="28"/>
          <w:szCs w:val="28"/>
        </w:rPr>
      </w:pPr>
      <w:r w:rsidRPr="68AAF936">
        <w:rPr>
          <w:rFonts w:eastAsia="Arial" w:cs="Arial"/>
          <w:sz w:val="28"/>
          <w:szCs w:val="28"/>
        </w:rPr>
        <w:t xml:space="preserve">6.1 Organisational Learning </w:t>
      </w:r>
    </w:p>
    <w:p w14:paraId="77CB7801"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Please note that this section is based on information from NFCC Organisational Learning resources, available on the </w:t>
      </w:r>
      <w:hyperlink r:id="rId13" w:history="1">
        <w:r w:rsidRPr="68AAF936">
          <w:rPr>
            <w:rFonts w:eastAsia="Arial" w:cs="Arial"/>
            <w:color w:val="467886"/>
            <w:kern w:val="2"/>
            <w:u w:val="single"/>
            <w14:ligatures w14:val="standardContextual"/>
          </w:rPr>
          <w:t>NFCC Organisational Learning website</w:t>
        </w:r>
      </w:hyperlink>
      <w:r w:rsidRPr="68AAF936">
        <w:rPr>
          <w:rFonts w:eastAsia="Arial" w:cs="Arial"/>
          <w:kern w:val="2"/>
          <w14:ligatures w14:val="standardContextual"/>
        </w:rPr>
        <w:t xml:space="preserve">. This guidance should be read alongside these resources, including the </w:t>
      </w:r>
      <w:hyperlink r:id="rId14" w:history="1">
        <w:r w:rsidRPr="68AAF936">
          <w:rPr>
            <w:rFonts w:eastAsia="Arial" w:cs="Arial"/>
            <w:color w:val="467886"/>
            <w:kern w:val="2"/>
            <w:u w:val="single"/>
            <w14:ligatures w14:val="standardContextual"/>
          </w:rPr>
          <w:t>Organisational Learning: Good Practice Guide</w:t>
        </w:r>
      </w:hyperlink>
      <w:r w:rsidRPr="68AAF936">
        <w:rPr>
          <w:rFonts w:eastAsia="Arial" w:cs="Arial"/>
          <w:kern w:val="2"/>
          <w14:ligatures w14:val="standardContextual"/>
        </w:rPr>
        <w:t>.</w:t>
      </w:r>
    </w:p>
    <w:p w14:paraId="53C7B593" w14:textId="77777777" w:rsidR="00DB7F3B" w:rsidRPr="00DB7F3B" w:rsidRDefault="00DB7F3B" w:rsidP="68AAF936">
      <w:pPr>
        <w:spacing w:after="160" w:line="278" w:lineRule="auto"/>
        <w:rPr>
          <w:rFonts w:eastAsia="Arial" w:cs="Arial"/>
          <w:b/>
          <w:bCs/>
          <w:kern w:val="2"/>
          <w:sz w:val="28"/>
          <w:szCs w:val="28"/>
          <w14:ligatures w14:val="standardContextual"/>
        </w:rPr>
      </w:pPr>
    </w:p>
    <w:p w14:paraId="2F8DA1F1" w14:textId="77777777" w:rsidR="00DB7F3B" w:rsidRPr="00DB7F3B" w:rsidRDefault="7E4B1A9A" w:rsidP="68AAF936">
      <w:pPr>
        <w:spacing w:after="160" w:line="278" w:lineRule="auto"/>
        <w:rPr>
          <w:rFonts w:eastAsia="Arial" w:cs="Arial"/>
          <w:b/>
          <w:bCs/>
          <w:kern w:val="2"/>
          <w:sz w:val="28"/>
          <w:szCs w:val="28"/>
          <w14:ligatures w14:val="standardContextual"/>
        </w:rPr>
      </w:pPr>
      <w:r w:rsidRPr="68AAF936">
        <w:rPr>
          <w:rFonts w:eastAsia="Arial" w:cs="Arial"/>
          <w:b/>
          <w:bCs/>
          <w:kern w:val="2"/>
          <w:sz w:val="28"/>
          <w:szCs w:val="28"/>
          <w14:ligatures w14:val="standardContextual"/>
        </w:rPr>
        <w:t>What is Organisational Learning?</w:t>
      </w:r>
    </w:p>
    <w:p w14:paraId="678A76B6"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According to the </w:t>
      </w:r>
      <w:hyperlink r:id="rId15" w:history="1">
        <w:r w:rsidRPr="68AAF936">
          <w:rPr>
            <w:rFonts w:eastAsia="Arial" w:cs="Arial"/>
            <w:color w:val="467886"/>
            <w:kern w:val="2"/>
            <w:u w:val="single"/>
            <w14:ligatures w14:val="standardContextual"/>
          </w:rPr>
          <w:t>Organisational Learning website</w:t>
        </w:r>
      </w:hyperlink>
      <w:r w:rsidRPr="68AAF936">
        <w:rPr>
          <w:rFonts w:eastAsia="Arial" w:cs="Arial"/>
          <w:kern w:val="2"/>
          <w14:ligatures w14:val="standardContextual"/>
        </w:rPr>
        <w:t>, “Organisational learning is a process of considering the widest possible evidence base to identify notable practice, and highlight where improvement or change is needed at a national (NFCC) or local (FRS) level. This analysis informs action within NFCC and fire and rescue services to drive continual improvement in the quality of service delivered to the public.”</w:t>
      </w:r>
    </w:p>
    <w:p w14:paraId="45F90DFE"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At its core, Organisational Learning is about turning identified learning into actions. Those actions support improvements in organisational practices and culture. In Organisational Learning, every improvement counts and contributes towards embedding learning in strategy and creating safer teams and organisations.</w:t>
      </w:r>
    </w:p>
    <w:p w14:paraId="7E9A95FF"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For further Organisational Learning guidance, please refer to </w:t>
      </w:r>
      <w:hyperlink r:id="rId16" w:history="1">
        <w:r w:rsidRPr="68AAF936">
          <w:rPr>
            <w:rFonts w:eastAsia="Arial" w:cs="Arial"/>
            <w:color w:val="467886"/>
            <w:kern w:val="2"/>
            <w:u w:val="single"/>
            <w14:ligatures w14:val="standardContextual"/>
          </w:rPr>
          <w:t>NFCC Organisational Learning resources.</w:t>
        </w:r>
      </w:hyperlink>
    </w:p>
    <w:p w14:paraId="0B7957D8" w14:textId="77777777" w:rsidR="00DB7F3B" w:rsidRPr="00DB7F3B" w:rsidRDefault="00DB7F3B" w:rsidP="68AAF936">
      <w:pPr>
        <w:spacing w:after="160" w:line="278" w:lineRule="auto"/>
        <w:rPr>
          <w:rFonts w:eastAsia="Arial" w:cs="Arial"/>
          <w:kern w:val="2"/>
          <w14:ligatures w14:val="standardContextual"/>
        </w:rPr>
      </w:pPr>
    </w:p>
    <w:p w14:paraId="492BA4DA" w14:textId="77777777" w:rsidR="00DB7F3B" w:rsidRPr="00DB7F3B" w:rsidRDefault="7E4B1A9A" w:rsidP="68AAF936">
      <w:pPr>
        <w:spacing w:after="160" w:line="278" w:lineRule="auto"/>
        <w:rPr>
          <w:rFonts w:eastAsia="Arial" w:cs="Arial"/>
          <w:b/>
          <w:bCs/>
          <w:kern w:val="2"/>
          <w:sz w:val="28"/>
          <w:szCs w:val="28"/>
          <w14:ligatures w14:val="standardContextual"/>
        </w:rPr>
      </w:pPr>
      <w:r w:rsidRPr="68AAF936">
        <w:rPr>
          <w:rFonts w:eastAsia="Arial" w:cs="Arial"/>
          <w:b/>
          <w:bCs/>
          <w:kern w:val="2"/>
          <w:sz w:val="28"/>
          <w:szCs w:val="28"/>
          <w14:ligatures w14:val="standardContextual"/>
        </w:rPr>
        <w:t>Core components of Organisational Learning</w:t>
      </w:r>
    </w:p>
    <w:p w14:paraId="2A601F8E"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color w:val="000000"/>
          <w:kern w:val="2"/>
          <w14:ligatures w14:val="standardContextual"/>
        </w:rPr>
        <w:t xml:space="preserve">This section is based on information found on the </w:t>
      </w:r>
      <w:hyperlink r:id="rId17" w:history="1">
        <w:r w:rsidRPr="68AAF936">
          <w:rPr>
            <w:rFonts w:eastAsia="Arial" w:cs="Arial"/>
            <w:color w:val="467886"/>
            <w:kern w:val="2"/>
            <w:u w:val="single"/>
            <w14:ligatures w14:val="standardContextual"/>
          </w:rPr>
          <w:t>NFCC Organisational Learning website</w:t>
        </w:r>
      </w:hyperlink>
      <w:r w:rsidRPr="68AAF936">
        <w:rPr>
          <w:rFonts w:eastAsia="Arial" w:cs="Arial"/>
          <w:color w:val="000000"/>
          <w:kern w:val="2"/>
          <w14:ligatures w14:val="standardContextual"/>
        </w:rPr>
        <w:t xml:space="preserve"> and the </w:t>
      </w:r>
      <w:hyperlink r:id="rId18" w:history="1">
        <w:r w:rsidRPr="68AAF936">
          <w:rPr>
            <w:rFonts w:eastAsia="Arial" w:cs="Arial"/>
            <w:color w:val="467886"/>
            <w:kern w:val="2"/>
            <w:u w:val="single"/>
            <w14:ligatures w14:val="standardContextual"/>
          </w:rPr>
          <w:t>Organisational Learning: Good Practice Guide</w:t>
        </w:r>
      </w:hyperlink>
      <w:r w:rsidRPr="68AAF936">
        <w:rPr>
          <w:rFonts w:eastAsia="Arial" w:cs="Arial"/>
          <w:kern w:val="2"/>
          <w14:ligatures w14:val="standardContextual"/>
        </w:rPr>
        <w:t>.</w:t>
      </w:r>
      <w:r w:rsidRPr="68AAF936">
        <w:rPr>
          <w:rFonts w:eastAsia="Arial" w:cs="Arial"/>
          <w:color w:val="000000"/>
          <w:kern w:val="2"/>
          <w14:ligatures w14:val="standardContextual"/>
        </w:rPr>
        <w:t xml:space="preserve"> </w:t>
      </w:r>
    </w:p>
    <w:p w14:paraId="44A754B1"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Effective organisational learning is supported by a number of organisational factors. These include systems thinking, leadership values and behaviours, and a learning culture. </w:t>
      </w:r>
    </w:p>
    <w:p w14:paraId="6268D66D" w14:textId="77777777" w:rsidR="00DB7F3B" w:rsidRPr="00DB7F3B" w:rsidRDefault="00DB7F3B" w:rsidP="68AAF936">
      <w:pPr>
        <w:spacing w:after="160" w:line="278" w:lineRule="auto"/>
        <w:rPr>
          <w:rFonts w:eastAsia="Arial" w:cs="Arial"/>
          <w:b/>
          <w:bCs/>
          <w:kern w:val="2"/>
          <w14:ligatures w14:val="standardContextual"/>
        </w:rPr>
      </w:pPr>
    </w:p>
    <w:p w14:paraId="6AF7026A"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b/>
          <w:bCs/>
          <w:kern w:val="2"/>
          <w14:ligatures w14:val="standardContextual"/>
        </w:rPr>
        <w:t>Systems thinking</w:t>
      </w:r>
      <w:r w:rsidRPr="68AAF936">
        <w:rPr>
          <w:rFonts w:eastAsia="Arial" w:cs="Arial"/>
          <w:kern w:val="2"/>
          <w14:ligatures w14:val="standardContextual"/>
        </w:rPr>
        <w:t xml:space="preserve"> </w:t>
      </w:r>
    </w:p>
    <w:p w14:paraId="21248F26"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A holistic approach that seeks to understand complex issues by looking at the wider relationships and patterns with other parts, as well as at the system as a whole. Instead of asking a simple ‘who’ question, systems thinking leads to a ‘what’ and ‘why’ approach to asking initial questions.</w:t>
      </w:r>
    </w:p>
    <w:p w14:paraId="12947B5A" w14:textId="77777777" w:rsidR="00DB7F3B" w:rsidRPr="00DB7F3B" w:rsidRDefault="00DB7F3B" w:rsidP="68AAF936">
      <w:pPr>
        <w:spacing w:after="160" w:line="278" w:lineRule="auto"/>
        <w:rPr>
          <w:rFonts w:eastAsia="Arial" w:cs="Arial"/>
          <w:b/>
          <w:bCs/>
          <w:kern w:val="2"/>
          <w14:ligatures w14:val="standardContextual"/>
        </w:rPr>
      </w:pPr>
    </w:p>
    <w:p w14:paraId="654CD74D"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Leadership values and behaviours</w:t>
      </w:r>
    </w:p>
    <w:p w14:paraId="4FEC9A3C"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Leaders who model and embody the following values and behaviours help their wider team and organisation engage effectively with Organisational Learning: </w:t>
      </w:r>
    </w:p>
    <w:p w14:paraId="42E5D3E7" w14:textId="77777777" w:rsidR="00DB7F3B" w:rsidRPr="00DB7F3B" w:rsidRDefault="7E4B1A9A" w:rsidP="68AAF936">
      <w:pPr>
        <w:numPr>
          <w:ilvl w:val="0"/>
          <w:numId w:val="26"/>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Accountability</w:t>
      </w:r>
    </w:p>
    <w:p w14:paraId="05FF122C" w14:textId="77777777" w:rsidR="00DB7F3B" w:rsidRPr="00DB7F3B" w:rsidRDefault="7E4B1A9A" w:rsidP="68AAF936">
      <w:pPr>
        <w:numPr>
          <w:ilvl w:val="0"/>
          <w:numId w:val="26"/>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A willingness to learn and improve</w:t>
      </w:r>
    </w:p>
    <w:p w14:paraId="2568DFE1" w14:textId="77777777" w:rsidR="00DB7F3B" w:rsidRPr="00DB7F3B" w:rsidRDefault="7E4B1A9A" w:rsidP="68AAF936">
      <w:pPr>
        <w:numPr>
          <w:ilvl w:val="0"/>
          <w:numId w:val="26"/>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Embodying the behaviours defined in the </w:t>
      </w:r>
      <w:hyperlink r:id="rId19" w:history="1">
        <w:r w:rsidRPr="68AAF936">
          <w:rPr>
            <w:rFonts w:eastAsia="Arial" w:cs="Arial"/>
            <w:color w:val="467886"/>
            <w:kern w:val="2"/>
            <w:u w:val="single"/>
            <w14:ligatures w14:val="standardContextual"/>
          </w:rPr>
          <w:t>NFCC Leadership Framework</w:t>
        </w:r>
      </w:hyperlink>
    </w:p>
    <w:p w14:paraId="43616F90" w14:textId="77777777" w:rsidR="00DB7F3B" w:rsidRPr="00DB7F3B" w:rsidRDefault="7E4B1A9A" w:rsidP="68AAF936">
      <w:pPr>
        <w:numPr>
          <w:ilvl w:val="0"/>
          <w:numId w:val="26"/>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The </w:t>
      </w:r>
      <w:hyperlink r:id="rId20" w:history="1">
        <w:r w:rsidRPr="68AAF936">
          <w:rPr>
            <w:rFonts w:eastAsia="Arial" w:cs="Arial"/>
            <w:color w:val="467886"/>
            <w:kern w:val="2"/>
            <w:u w:val="single"/>
            <w14:ligatures w14:val="standardContextual"/>
          </w:rPr>
          <w:t>Core Code of Ethics values</w:t>
        </w:r>
      </w:hyperlink>
      <w:r w:rsidRPr="68AAF936">
        <w:rPr>
          <w:rFonts w:eastAsia="Arial" w:cs="Arial"/>
          <w:kern w:val="2"/>
          <w14:ligatures w14:val="standardContextual"/>
        </w:rPr>
        <w:t>, notably integrity, dignity, and respect</w:t>
      </w:r>
    </w:p>
    <w:p w14:paraId="0C01C354" w14:textId="77777777" w:rsidR="00DB7F3B" w:rsidRPr="00DB7F3B" w:rsidRDefault="00DB7F3B" w:rsidP="68AAF936">
      <w:pPr>
        <w:spacing w:after="160" w:line="278" w:lineRule="auto"/>
        <w:rPr>
          <w:rFonts w:eastAsia="Arial" w:cs="Arial"/>
          <w:b/>
          <w:bCs/>
          <w:kern w:val="2"/>
          <w14:ligatures w14:val="standardContextual"/>
        </w:rPr>
      </w:pPr>
    </w:p>
    <w:p w14:paraId="3AAF2317"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 xml:space="preserve">Learning culture </w:t>
      </w:r>
    </w:p>
    <w:p w14:paraId="6BE1FE52"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In a</w:t>
      </w:r>
      <w:r w:rsidRPr="68AAF936" w:rsidDel="00E822F8">
        <w:rPr>
          <w:rFonts w:eastAsia="Arial" w:cs="Arial"/>
          <w:kern w:val="2"/>
          <w14:ligatures w14:val="standardContextual"/>
        </w:rPr>
        <w:t xml:space="preserve"> </w:t>
      </w:r>
      <w:r w:rsidRPr="68AAF936">
        <w:rPr>
          <w:rFonts w:eastAsia="Arial" w:cs="Arial"/>
          <w:kern w:val="2"/>
          <w14:ligatures w14:val="standardContextual"/>
        </w:rPr>
        <w:t>learning culture, colleagues feel psychologically safe to speak up on issues, identify and share improvement ideas, and participate in learning.</w:t>
      </w:r>
    </w:p>
    <w:p w14:paraId="57E68F3E" w14:textId="77777777" w:rsidR="00DB7F3B" w:rsidRPr="00DB7F3B" w:rsidRDefault="7E4B1A9A" w:rsidP="68AAF936">
      <w:pPr>
        <w:spacing w:after="160" w:line="278" w:lineRule="auto"/>
        <w:rPr>
          <w:rFonts w:eastAsia="Arial" w:cs="Arial"/>
          <w:b/>
          <w:bCs/>
          <w:kern w:val="2"/>
          <w:sz w:val="28"/>
          <w:szCs w:val="28"/>
          <w14:ligatures w14:val="standardContextual"/>
        </w:rPr>
      </w:pPr>
      <w:r w:rsidRPr="68AAF936">
        <w:rPr>
          <w:rFonts w:eastAsia="Arial" w:cs="Arial"/>
          <w:b/>
          <w:bCs/>
          <w:kern w:val="2"/>
          <w:sz w:val="28"/>
          <w:szCs w:val="28"/>
          <w14:ligatures w14:val="standardContextual"/>
        </w:rPr>
        <w:t>Organisational Learning process</w:t>
      </w:r>
    </w:p>
    <w:p w14:paraId="43121650"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color w:val="000000"/>
          <w:kern w:val="2"/>
          <w14:ligatures w14:val="standardContextual"/>
        </w:rPr>
        <w:t xml:space="preserve">This section is based on information found on the </w:t>
      </w:r>
      <w:hyperlink r:id="rId21" w:history="1">
        <w:r w:rsidRPr="68AAF936">
          <w:rPr>
            <w:rFonts w:eastAsia="Arial" w:cs="Arial"/>
            <w:color w:val="467886"/>
            <w:kern w:val="2"/>
            <w:u w:val="single"/>
            <w14:ligatures w14:val="standardContextual"/>
          </w:rPr>
          <w:t>NFCC Organisational Learning: Good Practice Guide</w:t>
        </w:r>
      </w:hyperlink>
      <w:r w:rsidRPr="68AAF936">
        <w:rPr>
          <w:rFonts w:eastAsia="Arial" w:cs="Arial"/>
          <w:color w:val="000000"/>
          <w:kern w:val="2"/>
          <w14:ligatures w14:val="standardContextual"/>
        </w:rPr>
        <w:t xml:space="preserve">. </w:t>
      </w:r>
    </w:p>
    <w:p w14:paraId="27EEDE45"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The NFCC Organisational Learning process has 5 key steps. This process follows the </w:t>
      </w:r>
      <w:hyperlink r:id="rId22" w:history="1">
        <w:r w:rsidRPr="68AAF936">
          <w:rPr>
            <w:rFonts w:eastAsia="Arial" w:cs="Arial"/>
            <w:color w:val="467886"/>
            <w:kern w:val="2"/>
            <w:u w:val="single"/>
            <w14:ligatures w14:val="standardContextual"/>
          </w:rPr>
          <w:t>NFCC Organisational Learning process</w:t>
        </w:r>
      </w:hyperlink>
      <w:r w:rsidRPr="68AAF936">
        <w:rPr>
          <w:rFonts w:eastAsia="Arial" w:cs="Arial"/>
          <w:kern w:val="2"/>
          <w14:ligatures w14:val="standardContextual"/>
        </w:rPr>
        <w:t>, but the principles also apply in the development of a service’s internal learning process:</w:t>
      </w:r>
    </w:p>
    <w:p w14:paraId="11D1C36D" w14:textId="77777777" w:rsidR="00DB7F3B" w:rsidRPr="00DB7F3B" w:rsidRDefault="7E4B1A9A" w:rsidP="68AAF936">
      <w:pPr>
        <w:numPr>
          <w:ilvl w:val="0"/>
          <w:numId w:val="11"/>
        </w:numPr>
        <w:spacing w:after="160" w:line="278" w:lineRule="auto"/>
        <w:contextualSpacing/>
        <w:rPr>
          <w:rFonts w:eastAsia="Arial" w:cs="Arial"/>
          <w:kern w:val="2"/>
          <w14:ligatures w14:val="standardContextual"/>
        </w:rPr>
      </w:pPr>
      <w:r w:rsidRPr="68AAF936">
        <w:rPr>
          <w:rFonts w:eastAsia="Arial" w:cs="Arial"/>
          <w:b/>
          <w:bCs/>
          <w:kern w:val="2"/>
          <w14:ligatures w14:val="standardContextual"/>
        </w:rPr>
        <w:t>Identification of learning</w:t>
      </w:r>
      <w:r w:rsidRPr="68AAF936">
        <w:rPr>
          <w:rFonts w:eastAsia="Arial" w:cs="Arial"/>
          <w:kern w:val="2"/>
          <w14:ligatures w14:val="standardContextual"/>
        </w:rPr>
        <w:t>:</w:t>
      </w:r>
      <w:r w:rsidRPr="68AAF936" w:rsidDel="003B69DF">
        <w:rPr>
          <w:rFonts w:eastAsia="Arial" w:cs="Arial"/>
          <w:kern w:val="2"/>
          <w14:ligatures w14:val="standardContextual"/>
        </w:rPr>
        <w:t xml:space="preserve"> </w:t>
      </w:r>
      <w:r w:rsidRPr="68AAF936">
        <w:rPr>
          <w:rFonts w:eastAsia="Arial" w:cs="Arial"/>
          <w:kern w:val="2"/>
          <w14:ligatures w14:val="standardContextual"/>
        </w:rPr>
        <w:t xml:space="preserve">seeking and gathering learning from a wide range of sources. </w:t>
      </w:r>
    </w:p>
    <w:p w14:paraId="3742F594" w14:textId="77777777" w:rsidR="00DB7F3B" w:rsidRPr="00DB7F3B" w:rsidRDefault="7E4B1A9A" w:rsidP="68AAF936">
      <w:pPr>
        <w:numPr>
          <w:ilvl w:val="0"/>
          <w:numId w:val="11"/>
        </w:numPr>
        <w:spacing w:after="160" w:line="278" w:lineRule="auto"/>
        <w:contextualSpacing/>
        <w:rPr>
          <w:rFonts w:eastAsia="Arial" w:cs="Arial"/>
          <w:kern w:val="2"/>
          <w14:ligatures w14:val="standardContextual"/>
        </w:rPr>
      </w:pPr>
      <w:r w:rsidRPr="68AAF936">
        <w:rPr>
          <w:rFonts w:eastAsia="Arial" w:cs="Arial"/>
          <w:b/>
          <w:bCs/>
          <w:kern w:val="2"/>
          <w14:ligatures w14:val="standardContextual"/>
        </w:rPr>
        <w:t>Analysis and recommendations</w:t>
      </w:r>
      <w:r w:rsidRPr="68AAF936">
        <w:rPr>
          <w:rFonts w:eastAsia="Arial" w:cs="Arial"/>
          <w:kern w:val="2"/>
          <w14:ligatures w14:val="standardContextual"/>
        </w:rPr>
        <w:t>:</w:t>
      </w:r>
      <w:r w:rsidRPr="68AAF936" w:rsidDel="00FB5A2C">
        <w:rPr>
          <w:rFonts w:eastAsia="Arial" w:cs="Arial"/>
          <w:kern w:val="2"/>
          <w14:ligatures w14:val="standardContextual"/>
        </w:rPr>
        <w:t xml:space="preserve"> </w:t>
      </w:r>
      <w:r w:rsidRPr="68AAF936">
        <w:rPr>
          <w:rFonts w:eastAsia="Arial" w:cs="Arial"/>
          <w:kern w:val="2"/>
          <w14:ligatures w14:val="standardContextual"/>
        </w:rPr>
        <w:t>reviewing findings, collating additional information, and identifying possible improvements.</w:t>
      </w:r>
    </w:p>
    <w:p w14:paraId="1ED40576" w14:textId="77777777" w:rsidR="00DB7F3B" w:rsidRPr="00DB7F3B" w:rsidRDefault="7E4B1A9A" w:rsidP="68AAF936">
      <w:pPr>
        <w:numPr>
          <w:ilvl w:val="0"/>
          <w:numId w:val="11"/>
        </w:numPr>
        <w:spacing w:after="160" w:line="278" w:lineRule="auto"/>
        <w:contextualSpacing/>
        <w:rPr>
          <w:rFonts w:eastAsia="Arial" w:cs="Arial"/>
          <w:kern w:val="2"/>
          <w14:ligatures w14:val="standardContextual"/>
        </w:rPr>
      </w:pPr>
      <w:r w:rsidRPr="68AAF936">
        <w:rPr>
          <w:rFonts w:eastAsia="Arial" w:cs="Arial"/>
          <w:b/>
          <w:bCs/>
          <w:kern w:val="2"/>
          <w14:ligatures w14:val="standardContextual"/>
        </w:rPr>
        <w:t>Risk assessment and prioritisation</w:t>
      </w:r>
      <w:r w:rsidRPr="68AAF936">
        <w:rPr>
          <w:rFonts w:eastAsia="Arial" w:cs="Arial"/>
          <w:kern w:val="2"/>
          <w14:ligatures w14:val="standardContextual"/>
        </w:rPr>
        <w:t>:</w:t>
      </w:r>
      <w:r w:rsidRPr="68AAF936" w:rsidDel="00FB5A2C">
        <w:rPr>
          <w:rFonts w:eastAsia="Arial" w:cs="Arial"/>
          <w:kern w:val="2"/>
          <w14:ligatures w14:val="standardContextual"/>
        </w:rPr>
        <w:t xml:space="preserve"> </w:t>
      </w:r>
      <w:r w:rsidRPr="68AAF936">
        <w:rPr>
          <w:rFonts w:eastAsia="Arial" w:cs="Arial"/>
          <w:kern w:val="2"/>
          <w14:ligatures w14:val="standardContextual"/>
        </w:rPr>
        <w:t xml:space="preserve">triaging the learning by assessing the risk, reviewing effectiveness of existing controls, and assigning a priority rating. </w:t>
      </w:r>
    </w:p>
    <w:p w14:paraId="46E23969" w14:textId="77777777" w:rsidR="00DB7F3B" w:rsidRPr="00DB7F3B" w:rsidRDefault="7E4B1A9A" w:rsidP="68AAF936">
      <w:pPr>
        <w:numPr>
          <w:ilvl w:val="0"/>
          <w:numId w:val="11"/>
        </w:numPr>
        <w:spacing w:after="160" w:line="278" w:lineRule="auto"/>
        <w:contextualSpacing/>
        <w:rPr>
          <w:rFonts w:eastAsia="Arial" w:cs="Arial"/>
          <w:kern w:val="2"/>
          <w14:ligatures w14:val="standardContextual"/>
        </w:rPr>
      </w:pPr>
      <w:r w:rsidRPr="68AAF936">
        <w:rPr>
          <w:rFonts w:eastAsia="Arial" w:cs="Arial"/>
          <w:b/>
          <w:bCs/>
          <w:kern w:val="2"/>
          <w14:ligatures w14:val="standardContextual"/>
        </w:rPr>
        <w:t>Share learning</w:t>
      </w:r>
      <w:r w:rsidRPr="68AAF936">
        <w:rPr>
          <w:rFonts w:eastAsia="Arial" w:cs="Arial"/>
          <w:kern w:val="2"/>
          <w14:ligatures w14:val="standardContextual"/>
        </w:rPr>
        <w:t>:</w:t>
      </w:r>
      <w:r w:rsidRPr="68AAF936" w:rsidDel="00FB5A2C">
        <w:rPr>
          <w:rFonts w:eastAsia="Arial" w:cs="Arial"/>
          <w:kern w:val="2"/>
          <w14:ligatures w14:val="standardContextual"/>
        </w:rPr>
        <w:t xml:space="preserve"> </w:t>
      </w:r>
      <w:r w:rsidRPr="68AAF936">
        <w:rPr>
          <w:rFonts w:eastAsia="Arial" w:cs="Arial"/>
          <w:kern w:val="2"/>
          <w14:ligatures w14:val="standardContextual"/>
        </w:rPr>
        <w:t>sharing and discussing learning with relevant stakeholders.</w:t>
      </w:r>
    </w:p>
    <w:p w14:paraId="6FC15E2A" w14:textId="77777777" w:rsidR="00DB7F3B" w:rsidRPr="00DB7F3B" w:rsidRDefault="7E4B1A9A" w:rsidP="68AAF936">
      <w:pPr>
        <w:numPr>
          <w:ilvl w:val="0"/>
          <w:numId w:val="11"/>
        </w:numPr>
        <w:spacing w:after="160" w:line="278" w:lineRule="auto"/>
        <w:contextualSpacing/>
        <w:rPr>
          <w:rFonts w:eastAsia="Arial" w:cs="Arial"/>
          <w:kern w:val="2"/>
          <w14:ligatures w14:val="standardContextual"/>
        </w:rPr>
      </w:pPr>
      <w:r w:rsidRPr="68AAF936">
        <w:rPr>
          <w:rFonts w:eastAsia="Arial" w:cs="Arial"/>
          <w:b/>
          <w:bCs/>
          <w:kern w:val="2"/>
          <w14:ligatures w14:val="standardContextual"/>
        </w:rPr>
        <w:t>Change and evaluation</w:t>
      </w:r>
      <w:r w:rsidRPr="68AAF936">
        <w:rPr>
          <w:rFonts w:eastAsia="Arial" w:cs="Arial"/>
          <w:kern w:val="2"/>
          <w14:ligatures w14:val="standardContextual"/>
        </w:rPr>
        <w:t>:</w:t>
      </w:r>
      <w:r w:rsidRPr="68AAF936" w:rsidDel="00FB5A2C">
        <w:rPr>
          <w:rFonts w:eastAsia="Arial" w:cs="Arial"/>
          <w:kern w:val="2"/>
          <w14:ligatures w14:val="standardContextual"/>
        </w:rPr>
        <w:t xml:space="preserve"> </w:t>
      </w:r>
      <w:r w:rsidRPr="68AAF936">
        <w:rPr>
          <w:rFonts w:eastAsia="Arial" w:cs="Arial"/>
          <w:kern w:val="2"/>
          <w14:ligatures w14:val="standardContextual"/>
        </w:rPr>
        <w:t>embedding learning in line with strategic plans and assessing the benefits of change.</w:t>
      </w:r>
    </w:p>
    <w:p w14:paraId="6846561C"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6D625CE4" w14:textId="77777777" w:rsidR="00DB7F3B" w:rsidRPr="00DB7F3B" w:rsidRDefault="7E4B1A9A" w:rsidP="68AAF936">
      <w:pPr>
        <w:pStyle w:val="Heading3"/>
        <w:rPr>
          <w:rFonts w:eastAsia="Arial" w:cs="Arial"/>
          <w:sz w:val="28"/>
          <w:szCs w:val="28"/>
        </w:rPr>
      </w:pPr>
      <w:r w:rsidRPr="68AAF936">
        <w:rPr>
          <w:rFonts w:eastAsia="Arial" w:cs="Arial"/>
          <w:sz w:val="28"/>
          <w:szCs w:val="28"/>
        </w:rPr>
        <w:t>6.2 Legal compliance and data protection</w:t>
      </w:r>
    </w:p>
    <w:p w14:paraId="7192862B"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When considering sharing learning from misconduct cases, data protection needs to be a priority from the outset. It is a priority in both learning that is shared internally or externally with other organisations. </w:t>
      </w:r>
    </w:p>
    <w:p w14:paraId="1D321CD4"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Please note that this guidance advises on the identification and sharing of learning from misconduct cases. Confidential case details which could influence a service’s case outcome or legal position should never be shared as part of a learning output. </w:t>
      </w:r>
    </w:p>
    <w:p w14:paraId="2688B893" w14:textId="372B06B2"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Please also note that depending on the size of a service, there may be an increased risk of sharing misconduct learning that inadvertently identifies a case or individual involved. If a service has any doubt in being able to share learning from misconduct safely, either internally or externally, this should be discussed with their internal professional standards lead and data protection officer. Additionally, legal advice should be sought where required. This could include concerns over whether the learning can be safely anonymised, or if anonymisation is </w:t>
      </w:r>
      <w:r w:rsidR="058A2D19" w:rsidRPr="68AAF936">
        <w:rPr>
          <w:rFonts w:eastAsia="Arial" w:cs="Arial"/>
          <w:kern w:val="2"/>
          <w14:ligatures w14:val="standardContextual"/>
        </w:rPr>
        <w:t>sufficient</w:t>
      </w:r>
      <w:r w:rsidRPr="68AAF936">
        <w:rPr>
          <w:rFonts w:eastAsia="Arial" w:cs="Arial"/>
          <w:kern w:val="2"/>
          <w14:ligatures w14:val="standardContextual"/>
        </w:rPr>
        <w:t xml:space="preserve"> to prevent an individual involved from being identified. If a small service wants to share learning externally but reduce the risk of identifiability, the service could combine and share anonymised learning as part of a group exercise with other services who are in the same region. This allows the service to identify and share broader themes while still applying data protection principles. </w:t>
      </w:r>
    </w:p>
    <w:p w14:paraId="5FFE7D61" w14:textId="411CDF2F" w:rsidR="00D86590"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Services should consider the following to support the safe identification and sharing of learning both internally and externally:</w:t>
      </w:r>
    </w:p>
    <w:p w14:paraId="1A479481"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Conduct a ‘two-stage identifiability assessment’</w:t>
      </w:r>
    </w:p>
    <w:p w14:paraId="4718D867"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A service should conduct a two-stage identifiability assessment</w:t>
      </w:r>
      <w:r w:rsidRPr="68AAF936">
        <w:rPr>
          <w:rFonts w:eastAsia="Arial" w:cs="Arial"/>
          <w:b/>
          <w:bCs/>
          <w:kern w:val="2"/>
          <w14:ligatures w14:val="standardContextual"/>
        </w:rPr>
        <w:t xml:space="preserve"> </w:t>
      </w:r>
      <w:r w:rsidRPr="68AAF936">
        <w:rPr>
          <w:rFonts w:eastAsia="Arial" w:cs="Arial"/>
          <w:kern w:val="2"/>
          <w14:ligatures w14:val="standardContextual"/>
        </w:rPr>
        <w:t>before sharing any anonymised learning from misconduct cases. The first stage is the ‘motivated intruder’ test. This test asks if a motivated individual from the intended audience could, using all the practical steps and means that are reasonably likely to be used, identify the individuals the information relates to. The second stage is having an appropriate reviewer review the learning. For example, a service’s Data Protection Officer (DPO).</w:t>
      </w:r>
    </w:p>
    <w:p w14:paraId="1F32C275"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Further information about this test can be found under the ‘Two-stage identifiability assessments’ section.</w:t>
      </w:r>
    </w:p>
    <w:p w14:paraId="795AD093"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It is important that that the employees who carry out any anonymisation and authorise the sharing of anonymised learning are adequately trained to do this safely. Seek advice from your DPO where required.</w:t>
      </w:r>
    </w:p>
    <w:p w14:paraId="2C00A1F2" w14:textId="77777777" w:rsidR="00DB7F3B" w:rsidRPr="00DB7F3B" w:rsidRDefault="00DB7F3B" w:rsidP="68AAF936">
      <w:pPr>
        <w:spacing w:after="160" w:line="278" w:lineRule="auto"/>
        <w:rPr>
          <w:rFonts w:eastAsia="Arial" w:cs="Arial"/>
          <w:b/>
          <w:bCs/>
          <w:kern w:val="2"/>
          <w14:ligatures w14:val="standardContextual"/>
        </w:rPr>
      </w:pPr>
    </w:p>
    <w:p w14:paraId="2F519536"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Focus on the learning</w:t>
      </w:r>
    </w:p>
    <w:p w14:paraId="67D5F95A"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A service should focus on the learning and any identified actions rather than the case itself. A service should assess what has been learnt and how it will impact future practice.</w:t>
      </w:r>
    </w:p>
    <w:p w14:paraId="16CBEF81" w14:textId="77777777" w:rsidR="00DB7F3B" w:rsidRPr="00DB7F3B" w:rsidRDefault="00DB7F3B" w:rsidP="68AAF936">
      <w:pPr>
        <w:spacing w:after="160" w:line="278" w:lineRule="auto"/>
        <w:rPr>
          <w:rFonts w:eastAsia="Arial" w:cs="Arial"/>
          <w:b/>
          <w:bCs/>
          <w:kern w:val="2"/>
          <w14:ligatures w14:val="standardContextual"/>
        </w:rPr>
      </w:pPr>
    </w:p>
    <w:p w14:paraId="28AFDA5E"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 xml:space="preserve">Example: </w:t>
      </w:r>
      <w:r w:rsidRPr="68AAF936">
        <w:rPr>
          <w:rFonts w:eastAsia="Arial" w:cs="Arial"/>
          <w:kern w:val="2"/>
          <w14:ligatures w14:val="standardContextual"/>
        </w:rPr>
        <w:t>a learning</w:t>
      </w:r>
      <w:r w:rsidRPr="68AAF936" w:rsidDel="006A145A">
        <w:rPr>
          <w:rFonts w:eastAsia="Arial" w:cs="Arial"/>
          <w:kern w:val="2"/>
          <w14:ligatures w14:val="standardContextual"/>
        </w:rPr>
        <w:t xml:space="preserve"> </w:t>
      </w:r>
      <w:r w:rsidRPr="68AAF936">
        <w:rPr>
          <w:rFonts w:eastAsia="Arial" w:cs="Arial"/>
          <w:kern w:val="2"/>
          <w14:ligatures w14:val="standardContextual"/>
        </w:rPr>
        <w:t xml:space="preserve">output states that “a firefighter at a two-pump station was dismissed in March for sending offensive messages to a colleague.” The learning output contains no names. However, anyone at that station or in a small service with only one two-pump station could readily identify both the employee and the colleague who complained. To that audience, the learning output is personal data. </w:t>
      </w:r>
    </w:p>
    <w:p w14:paraId="7D590BF5"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By contrast, a learning output stating “reviews of several cases across the region found that managers were unsure when online messaging between colleagues should be escalated” is unlikely to identify anyone and highlights specific learning.</w:t>
      </w:r>
    </w:p>
    <w:p w14:paraId="5C2C9E9A" w14:textId="77777777" w:rsidR="00DB7F3B" w:rsidRPr="00DB7F3B" w:rsidRDefault="00DB7F3B" w:rsidP="68AAF936">
      <w:pPr>
        <w:spacing w:after="160" w:line="278" w:lineRule="auto"/>
        <w:rPr>
          <w:rFonts w:eastAsia="Arial" w:cs="Arial"/>
          <w:b/>
          <w:bCs/>
          <w:kern w:val="2"/>
          <w14:ligatures w14:val="standardContextual"/>
        </w:rPr>
      </w:pPr>
    </w:p>
    <w:p w14:paraId="36CD69AA"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 xml:space="preserve">Complete a Data Protection Impact Assessment (DPIA) </w:t>
      </w:r>
    </w:p>
    <w:p w14:paraId="015B71EF"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A service should complete a DPIA on how learning from misconduct cases is identified and shared. The Information Commissioner’s Office (ICO) defines a DPIA as “a process designed to help you systematically analyse, identify and minimise the data protection risks of a project or plan.” </w:t>
      </w:r>
    </w:p>
    <w:p w14:paraId="2C2E82C4" w14:textId="77777777" w:rsidR="00DB7F3B" w:rsidRPr="00DB7F3B" w:rsidRDefault="7E4B1A9A" w:rsidP="68AAF936">
      <w:p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The ICO provides </w:t>
      </w:r>
      <w:hyperlink r:id="rId23" w:anchor="what1" w:history="1">
        <w:r w:rsidRPr="68AAF936">
          <w:rPr>
            <w:rFonts w:eastAsia="Arial" w:cs="Arial"/>
            <w:color w:val="467886"/>
            <w:kern w:val="2"/>
            <w:u w:val="single"/>
            <w14:ligatures w14:val="standardContextual"/>
          </w:rPr>
          <w:t>guidance and a template for completing a DPIA on their website.</w:t>
        </w:r>
      </w:hyperlink>
    </w:p>
    <w:p w14:paraId="0F5B61BD" w14:textId="77777777" w:rsidR="00DB7F3B" w:rsidRPr="00DB7F3B" w:rsidRDefault="00DB7F3B" w:rsidP="68AAF936">
      <w:pPr>
        <w:spacing w:after="160" w:line="278" w:lineRule="auto"/>
        <w:contextualSpacing/>
        <w:rPr>
          <w:rFonts w:eastAsia="Arial" w:cs="Arial"/>
          <w:kern w:val="2"/>
          <w14:ligatures w14:val="standardContextual"/>
        </w:rPr>
      </w:pPr>
    </w:p>
    <w:p w14:paraId="3FC1480B" w14:textId="77777777" w:rsidR="00DB7F3B" w:rsidRPr="00DB7F3B" w:rsidRDefault="00DB7F3B" w:rsidP="68AAF936">
      <w:pPr>
        <w:spacing w:after="160" w:line="278" w:lineRule="auto"/>
        <w:contextualSpacing/>
        <w:rPr>
          <w:rFonts w:eastAsia="Arial" w:cs="Arial"/>
          <w:b/>
          <w:bCs/>
          <w:kern w:val="2"/>
          <w14:ligatures w14:val="standardContextual"/>
        </w:rPr>
      </w:pPr>
    </w:p>
    <w:p w14:paraId="74F5AEEA" w14:textId="77777777" w:rsidR="00DB7F3B" w:rsidRPr="00DB7F3B" w:rsidRDefault="7E4B1A9A" w:rsidP="68AAF936">
      <w:pPr>
        <w:spacing w:after="160" w:line="278" w:lineRule="auto"/>
        <w:contextualSpacing/>
        <w:rPr>
          <w:rFonts w:eastAsia="Arial" w:cs="Arial"/>
          <w:b/>
          <w:bCs/>
          <w:kern w:val="2"/>
          <w14:ligatures w14:val="standardContextual"/>
        </w:rPr>
      </w:pPr>
      <w:r w:rsidRPr="68AAF936">
        <w:rPr>
          <w:rFonts w:eastAsia="Arial" w:cs="Arial"/>
          <w:b/>
          <w:bCs/>
          <w:kern w:val="2"/>
          <w14:ligatures w14:val="standardContextual"/>
        </w:rPr>
        <w:t>Services should ensure clarity and accountability for how they use and manage data</w:t>
      </w:r>
    </w:p>
    <w:p w14:paraId="10443229" w14:textId="77777777" w:rsidR="00DB7F3B" w:rsidRPr="00DB7F3B" w:rsidRDefault="00DB7F3B" w:rsidP="68AAF936">
      <w:pPr>
        <w:spacing w:after="160" w:line="278" w:lineRule="auto"/>
        <w:contextualSpacing/>
        <w:rPr>
          <w:rFonts w:eastAsia="Arial" w:cs="Arial"/>
          <w:kern w:val="2"/>
          <w14:ligatures w14:val="standardContextual"/>
        </w:rPr>
      </w:pPr>
    </w:p>
    <w:p w14:paraId="2344F8C8" w14:textId="77777777" w:rsidR="00DB7F3B" w:rsidRPr="00DB7F3B" w:rsidRDefault="7E4B1A9A" w:rsidP="68AAF936">
      <w:pPr>
        <w:spacing w:after="160" w:line="278" w:lineRule="auto"/>
        <w:contextualSpacing/>
        <w:rPr>
          <w:rFonts w:eastAsia="Arial" w:cs="Arial"/>
          <w:kern w:val="2"/>
          <w14:ligatures w14:val="standardContextual"/>
        </w:rPr>
      </w:pPr>
      <w:r w:rsidRPr="68AAF936">
        <w:rPr>
          <w:rFonts w:eastAsia="Arial" w:cs="Arial"/>
          <w:kern w:val="2"/>
          <w14:ligatures w14:val="standardContextual"/>
        </w:rPr>
        <w:t>Services should store any drafts and the version history of the learning identified securely, as the drafts are also considered personal data. Set retention periods for any records that are used, ensure that the retention periods are included in your records retention policy, and ensure that retention periods are reviewed regularly.</w:t>
      </w:r>
    </w:p>
    <w:p w14:paraId="2808D8BD"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Consider if any data sharing agreements or data processing agreements need to be put in place. For example, if a service is sharing learning with a new external party a data sharing agreement may need to be established, or existing agreements may need to be updated to reflect a service’s processing and sharing activities.</w:t>
      </w:r>
    </w:p>
    <w:p w14:paraId="766F9A75"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Ensure that all employees in your service are being informed about how their personal data is processed by the service, including how their data is used for learning purposes.</w:t>
      </w:r>
    </w:p>
    <w:p w14:paraId="32856581"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Services should ensure that the following sources state how their employees' personal data is processed, the lawful basis for processing it, and the employees’ right to object to this:</w:t>
      </w:r>
    </w:p>
    <w:p w14:paraId="4293C806" w14:textId="77777777" w:rsidR="00DB7F3B" w:rsidRPr="00DB7F3B" w:rsidRDefault="7E4B1A9A" w:rsidP="68AAF936">
      <w:pPr>
        <w:numPr>
          <w:ilvl w:val="0"/>
          <w:numId w:val="2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Staff privacy notices</w:t>
      </w:r>
    </w:p>
    <w:p w14:paraId="3A6D76EE" w14:textId="77777777" w:rsidR="00DB7F3B" w:rsidRPr="00DB7F3B" w:rsidRDefault="7E4B1A9A" w:rsidP="68AAF936">
      <w:pPr>
        <w:numPr>
          <w:ilvl w:val="0"/>
          <w:numId w:val="2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Relevant policies and policy documents, including those covering organisational learning</w:t>
      </w:r>
    </w:p>
    <w:p w14:paraId="14785FC1" w14:textId="77777777" w:rsidR="00DB7F3B" w:rsidRPr="00DB7F3B" w:rsidRDefault="7E4B1A9A" w:rsidP="68AAF936">
      <w:pPr>
        <w:numPr>
          <w:ilvl w:val="0"/>
          <w:numId w:val="27"/>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Their Record of Processing Activities (ROPA)</w:t>
      </w:r>
    </w:p>
    <w:p w14:paraId="68FE3A0A"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7C05840C" w14:textId="77777777" w:rsidR="00DB7F3B" w:rsidRPr="00DB7F3B" w:rsidRDefault="00DB7F3B" w:rsidP="68AAF936">
      <w:pPr>
        <w:spacing w:after="160" w:line="278" w:lineRule="auto"/>
        <w:ind w:left="720"/>
        <w:contextualSpacing/>
        <w:rPr>
          <w:rFonts w:eastAsia="Arial" w:cs="Arial"/>
          <w:b/>
          <w:bCs/>
          <w:kern w:val="2"/>
          <w14:ligatures w14:val="standardContextual"/>
        </w:rPr>
      </w:pPr>
    </w:p>
    <w:p w14:paraId="7AA7A835" w14:textId="77777777" w:rsidR="00DB7F3B" w:rsidRPr="00DB7F3B" w:rsidRDefault="7E4B1A9A" w:rsidP="68AAF936">
      <w:pPr>
        <w:pStyle w:val="Heading3"/>
        <w:rPr>
          <w:rFonts w:eastAsia="Arial" w:cs="Arial"/>
          <w:sz w:val="28"/>
          <w:szCs w:val="28"/>
        </w:rPr>
      </w:pPr>
      <w:r w:rsidRPr="68AAF936">
        <w:rPr>
          <w:rFonts w:eastAsia="Arial" w:cs="Arial"/>
          <w:sz w:val="28"/>
          <w:szCs w:val="28"/>
        </w:rPr>
        <w:t>6.2.1 Two-stage identifiability tests (for all learning)</w:t>
      </w:r>
    </w:p>
    <w:p w14:paraId="0CECF02B"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Please note that the guidance in this section is summarised from </w:t>
      </w:r>
      <w:hyperlink r:id="rId24" w:history="1">
        <w:r w:rsidRPr="68AAF936">
          <w:rPr>
            <w:rFonts w:eastAsia="Arial" w:cs="Arial"/>
            <w:color w:val="467886"/>
            <w:kern w:val="2"/>
            <w:u w:val="single"/>
            <w14:ligatures w14:val="standardContextual"/>
          </w:rPr>
          <w:t>the ICO’s guidance on ensuring anonymisation is effective.</w:t>
        </w:r>
      </w:hyperlink>
      <w:r w:rsidRPr="68AAF936">
        <w:rPr>
          <w:rFonts w:eastAsia="Arial" w:cs="Arial"/>
          <w:b/>
          <w:bCs/>
          <w:kern w:val="2"/>
          <w14:ligatures w14:val="standardContextual"/>
        </w:rPr>
        <w:t xml:space="preserve"> </w:t>
      </w:r>
      <w:r w:rsidRPr="68AAF936">
        <w:rPr>
          <w:rFonts w:eastAsia="Arial" w:cs="Arial"/>
          <w:kern w:val="2"/>
          <w14:ligatures w14:val="standardContextual"/>
        </w:rPr>
        <w:t xml:space="preserve">This guidance should be read alongside the ICO’s anonymisation advice. </w:t>
      </w:r>
    </w:p>
    <w:p w14:paraId="78C65F49"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A two-stage identifiability test should be completed when sharing any anonymised learning from misconduct cases. The first stage is the ‘motivated intruder’ test, and the second stage is having an appropriate reviewer review the learning. This could be a service’s DPO.</w:t>
      </w:r>
    </w:p>
    <w:p w14:paraId="6D42602A"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The </w:t>
      </w:r>
      <w:hyperlink r:id="rId25" w:anchor="motivatedintruder" w:history="1">
        <w:r w:rsidRPr="68AAF936">
          <w:rPr>
            <w:rFonts w:eastAsia="Arial" w:cs="Arial"/>
            <w:color w:val="467886"/>
            <w:kern w:val="2"/>
            <w:u w:val="single"/>
            <w14:ligatures w14:val="standardContextual"/>
          </w:rPr>
          <w:t>ICO defines</w:t>
        </w:r>
      </w:hyperlink>
      <w:r w:rsidRPr="68AAF936">
        <w:rPr>
          <w:rFonts w:eastAsia="Arial" w:cs="Arial"/>
          <w:kern w:val="2"/>
          <w14:ligatures w14:val="standardContextual"/>
        </w:rPr>
        <w:t xml:space="preserve"> </w:t>
      </w:r>
      <w:bookmarkStart w:id="1" w:name="_Int_Dpghc4mX"/>
      <w:r w:rsidRPr="68AAF936">
        <w:rPr>
          <w:rFonts w:eastAsia="Arial" w:cs="Arial"/>
          <w:kern w:val="2"/>
          <w14:ligatures w14:val="standardContextual"/>
        </w:rPr>
        <w:t>the</w:t>
      </w:r>
      <w:bookmarkEnd w:id="1"/>
      <w:r w:rsidRPr="68AAF936">
        <w:rPr>
          <w:rFonts w:eastAsia="Arial" w:cs="Arial"/>
          <w:kern w:val="2"/>
          <w14:ligatures w14:val="standardContextual"/>
        </w:rPr>
        <w:t xml:space="preserve"> motivated intruder test as “a test which consider all the practical steps and all the means that are reasonably likely to be used by someone who is motivated to identify the people whose personal data the anonymous information is derived from. The test is used to assess the identifiability risk of (apparently) anonymous information.” </w:t>
      </w:r>
    </w:p>
    <w:p w14:paraId="267013C9"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The test asks whether a motivated individual from the intended audience could, using all the practical steps and means that are reasonably likely to be used, identify the individual or individuals that the information relates to.</w:t>
      </w:r>
    </w:p>
    <w:p w14:paraId="34B3C87B"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The test should not be limited to determining only if the subject or subjects of the case or cases can be identified. When completing this test, a service should consider whether any individuals involved can be identified. </w:t>
      </w:r>
    </w:p>
    <w:p w14:paraId="701EF4F1" w14:textId="77777777" w:rsidR="00DB7F3B" w:rsidRPr="00DB7F3B" w:rsidRDefault="7E4B1A9A" w:rsidP="68AAF936">
      <w:pPr>
        <w:spacing w:after="160" w:line="278" w:lineRule="auto"/>
        <w:rPr>
          <w:rFonts w:eastAsia="Arial" w:cs="Arial"/>
          <w:color w:val="000000"/>
          <w:kern w:val="2"/>
          <w14:ligatures w14:val="standardContextual"/>
        </w:rPr>
      </w:pPr>
      <w:r w:rsidRPr="68AAF936">
        <w:rPr>
          <w:rFonts w:eastAsia="Arial" w:cs="Arial"/>
          <w:kern w:val="2"/>
          <w14:ligatures w14:val="standardContextual"/>
        </w:rPr>
        <w:t xml:space="preserve">The </w:t>
      </w:r>
      <w:hyperlink r:id="rId26" w:history="1">
        <w:r w:rsidRPr="68AAF936">
          <w:rPr>
            <w:rFonts w:eastAsia="Arial" w:cs="Arial"/>
            <w:color w:val="467886"/>
            <w:kern w:val="2"/>
            <w:u w:val="single"/>
            <w14:ligatures w14:val="standardContextual"/>
          </w:rPr>
          <w:t>ICO advises</w:t>
        </w:r>
      </w:hyperlink>
      <w:r w:rsidRPr="68AAF936">
        <w:rPr>
          <w:rFonts w:eastAsia="Arial" w:cs="Arial"/>
          <w:kern w:val="2"/>
          <w14:ligatures w14:val="standardContextual"/>
        </w:rPr>
        <w:t xml:space="preserve"> that if you carry out this assessment internally, “</w:t>
      </w:r>
      <w:r w:rsidRPr="68AAF936">
        <w:rPr>
          <w:rFonts w:eastAsia="Arial" w:cs="Arial"/>
          <w:color w:val="000000"/>
          <w:kern w:val="2"/>
          <w14:ligatures w14:val="standardContextual"/>
        </w:rPr>
        <w:t>you should</w:t>
      </w:r>
      <w:r w:rsidRPr="68AAF936">
        <w:rPr>
          <w:rFonts w:eastAsia="Arial" w:cs="Arial"/>
          <w:b/>
          <w:bCs/>
          <w:color w:val="000000"/>
          <w:kern w:val="2"/>
          <w14:ligatures w14:val="standardContextual"/>
        </w:rPr>
        <w:t xml:space="preserve"> </w:t>
      </w:r>
      <w:r w:rsidRPr="68AAF936">
        <w:rPr>
          <w:rFonts w:eastAsia="Arial" w:cs="Arial"/>
          <w:color w:val="000000"/>
          <w:kern w:val="2"/>
          <w14:ligatures w14:val="standardContextual"/>
        </w:rPr>
        <w:t>involve staff with appropriate knowledge and understanding of both your anonymisation techniques and of any other data that could be used for identification.”</w:t>
      </w:r>
    </w:p>
    <w:p w14:paraId="6EA7AEB8" w14:textId="77777777" w:rsidR="00DB7F3B" w:rsidRPr="00DB7F3B" w:rsidRDefault="7E4B1A9A" w:rsidP="68AAF936">
      <w:pPr>
        <w:shd w:val="clear" w:color="auto" w:fill="FFFFFF" w:themeFill="background1"/>
        <w:spacing w:before="285" w:after="285" w:line="278" w:lineRule="auto"/>
        <w:rPr>
          <w:rFonts w:eastAsia="Arial" w:cs="Arial"/>
          <w:color w:val="000000"/>
          <w:kern w:val="2"/>
          <w14:ligatures w14:val="standardContextual"/>
        </w:rPr>
      </w:pPr>
      <w:r w:rsidRPr="68AAF936">
        <w:rPr>
          <w:rFonts w:eastAsia="Arial" w:cs="Arial"/>
          <w:color w:val="000000"/>
          <w:kern w:val="2"/>
          <w14:ligatures w14:val="standardContextual"/>
        </w:rPr>
        <w:t xml:space="preserve">The </w:t>
      </w:r>
      <w:hyperlink r:id="rId27" w:anchor="motivatedintruder" w:history="1">
        <w:r w:rsidRPr="68AAF936">
          <w:rPr>
            <w:rFonts w:eastAsia="Arial" w:cs="Arial"/>
            <w:color w:val="467886"/>
            <w:kern w:val="2"/>
            <w:u w:val="single"/>
            <w14:ligatures w14:val="standardContextual"/>
          </w:rPr>
          <w:t>ICO advises</w:t>
        </w:r>
      </w:hyperlink>
      <w:r w:rsidRPr="68AAF936">
        <w:rPr>
          <w:rFonts w:eastAsia="Arial" w:cs="Arial"/>
          <w:color w:val="000000"/>
          <w:kern w:val="2"/>
          <w14:ligatures w14:val="standardContextual"/>
        </w:rPr>
        <w:t xml:space="preserve"> that “your motivated intruder test should</w:t>
      </w:r>
      <w:r w:rsidRPr="68AAF936">
        <w:rPr>
          <w:rFonts w:eastAsia="Arial" w:cs="Arial"/>
          <w:b/>
          <w:bCs/>
          <w:color w:val="000000"/>
          <w:kern w:val="2"/>
          <w14:ligatures w14:val="standardContextual"/>
        </w:rPr>
        <w:t xml:space="preserve"> </w:t>
      </w:r>
      <w:r w:rsidRPr="68AAF936">
        <w:rPr>
          <w:rFonts w:eastAsia="Arial" w:cs="Arial"/>
          <w:color w:val="000000"/>
          <w:kern w:val="2"/>
          <w14:ligatures w14:val="standardContextual"/>
        </w:rPr>
        <w:t xml:space="preserve">consider: </w:t>
      </w:r>
    </w:p>
    <w:p w14:paraId="31E6BBB6" w14:textId="77777777" w:rsidR="00DB7F3B" w:rsidRPr="00DB7F3B" w:rsidRDefault="7E4B1A9A" w:rsidP="68AAF936">
      <w:pPr>
        <w:numPr>
          <w:ilvl w:val="0"/>
          <w:numId w:val="5"/>
        </w:numPr>
        <w:shd w:val="clear" w:color="auto" w:fill="FFFFFF" w:themeFill="background1"/>
        <w:spacing w:before="114" w:after="114" w:line="278" w:lineRule="auto"/>
        <w:contextualSpacing/>
        <w:rPr>
          <w:rFonts w:eastAsia="Arial" w:cs="Arial"/>
          <w:color w:val="000000"/>
          <w:kern w:val="2"/>
          <w14:ligatures w14:val="standardContextual"/>
        </w:rPr>
      </w:pPr>
      <w:r w:rsidRPr="68AAF936">
        <w:rPr>
          <w:rFonts w:eastAsia="Arial" w:cs="Arial"/>
          <w:color w:val="000000"/>
          <w:kern w:val="2"/>
          <w14:ligatures w14:val="standardContextual"/>
        </w:rPr>
        <w:t xml:space="preserve">the nature, type and volume of information you process; </w:t>
      </w:r>
    </w:p>
    <w:p w14:paraId="7BBBFA1F" w14:textId="77777777" w:rsidR="00DB7F3B" w:rsidRPr="00DB7F3B" w:rsidRDefault="7E4B1A9A" w:rsidP="68AAF936">
      <w:pPr>
        <w:numPr>
          <w:ilvl w:val="0"/>
          <w:numId w:val="5"/>
        </w:numPr>
        <w:shd w:val="clear" w:color="auto" w:fill="FFFFFF" w:themeFill="background1"/>
        <w:spacing w:before="114" w:after="114" w:line="278" w:lineRule="auto"/>
        <w:contextualSpacing/>
        <w:rPr>
          <w:rFonts w:eastAsia="Arial" w:cs="Arial"/>
          <w:color w:val="000000"/>
          <w:kern w:val="2"/>
          <w14:ligatures w14:val="standardContextual"/>
        </w:rPr>
      </w:pPr>
      <w:r w:rsidRPr="68AAF936">
        <w:rPr>
          <w:rFonts w:eastAsia="Arial" w:cs="Arial"/>
          <w:color w:val="000000"/>
          <w:kern w:val="2"/>
          <w14:ligatures w14:val="standardContextual"/>
        </w:rPr>
        <w:t xml:space="preserve">the likelihood of someone wanting to attempt to identify people, for whatever purpose;  </w:t>
      </w:r>
    </w:p>
    <w:p w14:paraId="757782A0" w14:textId="77777777" w:rsidR="00DB7F3B" w:rsidRPr="00DB7F3B" w:rsidRDefault="7E4B1A9A" w:rsidP="68AAF936">
      <w:pPr>
        <w:numPr>
          <w:ilvl w:val="0"/>
          <w:numId w:val="5"/>
        </w:numPr>
        <w:shd w:val="clear" w:color="auto" w:fill="FFFFFF" w:themeFill="background1"/>
        <w:spacing w:before="114" w:after="114" w:line="278" w:lineRule="auto"/>
        <w:contextualSpacing/>
        <w:rPr>
          <w:rFonts w:eastAsia="Arial" w:cs="Arial"/>
          <w:color w:val="000000"/>
          <w:kern w:val="2"/>
          <w14:ligatures w14:val="standardContextual"/>
        </w:rPr>
      </w:pPr>
      <w:r w:rsidRPr="68AAF936">
        <w:rPr>
          <w:rFonts w:eastAsia="Arial" w:cs="Arial"/>
          <w:color w:val="000000"/>
          <w:kern w:val="2"/>
          <w14:ligatures w14:val="standardContextual"/>
        </w:rPr>
        <w:t xml:space="preserve">the range of capabilities an intruder may have;  </w:t>
      </w:r>
    </w:p>
    <w:p w14:paraId="04DB2EA3" w14:textId="77777777" w:rsidR="00DB7F3B" w:rsidRPr="00DB7F3B" w:rsidRDefault="7E4B1A9A" w:rsidP="68AAF936">
      <w:pPr>
        <w:numPr>
          <w:ilvl w:val="0"/>
          <w:numId w:val="5"/>
        </w:numPr>
        <w:shd w:val="clear" w:color="auto" w:fill="FFFFFF" w:themeFill="background1"/>
        <w:spacing w:before="114" w:after="114" w:line="278" w:lineRule="auto"/>
        <w:contextualSpacing/>
        <w:rPr>
          <w:rFonts w:eastAsia="Arial" w:cs="Arial"/>
          <w:color w:val="000000"/>
          <w:kern w:val="2"/>
          <w14:ligatures w14:val="standardContextual"/>
        </w:rPr>
      </w:pPr>
      <w:r w:rsidRPr="68AAF936">
        <w:rPr>
          <w:rFonts w:eastAsia="Arial" w:cs="Arial"/>
          <w:color w:val="000000"/>
          <w:kern w:val="2"/>
          <w14:ligatures w14:val="standardContextual"/>
        </w:rPr>
        <w:t xml:space="preserve">the information that they may already have (or can access); and </w:t>
      </w:r>
    </w:p>
    <w:p w14:paraId="6798D617" w14:textId="77777777" w:rsidR="00DB7F3B" w:rsidRPr="00DB7F3B" w:rsidRDefault="7E4B1A9A" w:rsidP="68AAF936">
      <w:pPr>
        <w:numPr>
          <w:ilvl w:val="0"/>
          <w:numId w:val="5"/>
        </w:numPr>
        <w:shd w:val="clear" w:color="auto" w:fill="FFFFFF" w:themeFill="background1"/>
        <w:spacing w:before="114" w:after="114" w:line="278" w:lineRule="auto"/>
        <w:contextualSpacing/>
        <w:rPr>
          <w:rFonts w:eastAsia="Arial" w:cs="Arial"/>
          <w:color w:val="000000"/>
          <w:kern w:val="2"/>
          <w14:ligatures w14:val="standardContextual"/>
        </w:rPr>
      </w:pPr>
      <w:r w:rsidRPr="68AAF936">
        <w:rPr>
          <w:rFonts w:eastAsia="Arial" w:cs="Arial"/>
          <w:color w:val="000000"/>
          <w:kern w:val="2"/>
          <w14:ligatures w14:val="standardContextual"/>
        </w:rPr>
        <w:t>the controls you deploy within your data environment to prevent this.”</w:t>
      </w:r>
    </w:p>
    <w:p w14:paraId="6D5A1701" w14:textId="77777777" w:rsidR="00DB7F3B" w:rsidRPr="00DB7F3B" w:rsidRDefault="00DB7F3B" w:rsidP="68AAF936">
      <w:pPr>
        <w:spacing w:after="160" w:line="278" w:lineRule="auto"/>
        <w:rPr>
          <w:rFonts w:eastAsia="Arial" w:cs="Arial"/>
          <w:color w:val="000000"/>
          <w:kern w:val="2"/>
          <w14:ligatures w14:val="standardContextual"/>
        </w:rPr>
      </w:pPr>
    </w:p>
    <w:p w14:paraId="34317BB9"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color w:val="000000"/>
          <w:kern w:val="2"/>
          <w14:ligatures w14:val="standardContextual"/>
        </w:rPr>
        <w:t>After a service has completed a motivated intruder test, a service should have an appropriate reviewer review the learning for any information that could identify the individuals involved. This appropriate reviewer is likely to be a service's DPO.</w:t>
      </w:r>
    </w:p>
    <w:p w14:paraId="69643382" w14:textId="77777777" w:rsidR="00DB7F3B" w:rsidRPr="00DB7F3B" w:rsidRDefault="00DB7F3B" w:rsidP="68AAF936">
      <w:pPr>
        <w:spacing w:after="160" w:line="278" w:lineRule="auto"/>
        <w:rPr>
          <w:rFonts w:eastAsia="Arial" w:cs="Arial"/>
          <w:b/>
          <w:bCs/>
          <w:color w:val="000000"/>
          <w:kern w:val="2"/>
          <w14:ligatures w14:val="standardContextual"/>
        </w:rPr>
      </w:pPr>
    </w:p>
    <w:p w14:paraId="4418F11F" w14:textId="77777777" w:rsidR="00DB7F3B" w:rsidRPr="00DB7F3B" w:rsidRDefault="7E4B1A9A" w:rsidP="68AAF936">
      <w:pPr>
        <w:spacing w:after="160" w:line="278" w:lineRule="auto"/>
        <w:rPr>
          <w:rFonts w:eastAsia="Arial" w:cs="Arial"/>
          <w:i/>
          <w:iCs/>
          <w:color w:val="000000"/>
          <w:kern w:val="2"/>
          <w14:ligatures w14:val="standardContextual"/>
        </w:rPr>
      </w:pPr>
      <w:r w:rsidRPr="68AAF936">
        <w:rPr>
          <w:rFonts w:eastAsia="Arial" w:cs="Arial"/>
          <w:b/>
          <w:bCs/>
          <w:color w:val="000000"/>
          <w:kern w:val="2"/>
          <w14:ligatures w14:val="standardContextual"/>
        </w:rPr>
        <w:t>Motivated intruder test example:</w:t>
      </w:r>
      <w:r w:rsidRPr="68AAF936">
        <w:rPr>
          <w:rFonts w:eastAsia="Arial" w:cs="Arial"/>
          <w:i/>
          <w:iCs/>
          <w:color w:val="000000"/>
          <w:kern w:val="2"/>
          <w14:ligatures w14:val="standardContextual"/>
        </w:rPr>
        <w:t xml:space="preserve"> </w:t>
      </w:r>
      <w:r w:rsidRPr="68AAF936">
        <w:rPr>
          <w:rFonts w:eastAsia="Arial" w:cs="Arial"/>
          <w:color w:val="000000"/>
          <w:kern w:val="2"/>
          <w14:ligatures w14:val="standardContextual"/>
        </w:rPr>
        <w:t>an HR Manager drafts a learning output and asks, “Could a determined colleague in this service, using what they already know, piecing together local gossip, social media, or a published employment tribunal judgment, work out who this is about?” If the answer is yes, the summary is revised. The DPO then reviews the revised version to determine if any individuals can be identified. Once approved, it is then shared with its intended audience.</w:t>
      </w:r>
    </w:p>
    <w:p w14:paraId="0BE70583" w14:textId="77777777" w:rsidR="00DB7F3B" w:rsidRPr="00DB7F3B" w:rsidRDefault="00DB7F3B" w:rsidP="68AAF936">
      <w:pPr>
        <w:spacing w:after="160" w:line="278" w:lineRule="auto"/>
        <w:rPr>
          <w:rFonts w:eastAsia="Arial" w:cs="Arial"/>
          <w:color w:val="000000"/>
          <w:kern w:val="2"/>
          <w14:ligatures w14:val="standardContextual"/>
        </w:rPr>
      </w:pPr>
    </w:p>
    <w:p w14:paraId="38CB1E80" w14:textId="77777777" w:rsidR="00DB7F3B" w:rsidRPr="00DB7F3B" w:rsidRDefault="7E4B1A9A" w:rsidP="68AAF936">
      <w:pPr>
        <w:spacing w:after="160" w:line="278" w:lineRule="auto"/>
        <w:rPr>
          <w:rFonts w:eastAsia="Arial" w:cs="Arial"/>
          <w:b/>
          <w:bCs/>
          <w:kern w:val="2"/>
          <w:sz w:val="28"/>
          <w:szCs w:val="28"/>
          <w14:ligatures w14:val="standardContextual"/>
        </w:rPr>
      </w:pPr>
      <w:r w:rsidRPr="68AAF936">
        <w:rPr>
          <w:rFonts w:eastAsia="Arial" w:cs="Arial"/>
          <w:b/>
          <w:bCs/>
          <w:color w:val="000000"/>
          <w:kern w:val="2"/>
          <w:sz w:val="28"/>
          <w:szCs w:val="28"/>
          <w14:ligatures w14:val="standardContextual"/>
        </w:rPr>
        <w:t xml:space="preserve">What if an employee can identify themselves? </w:t>
      </w:r>
    </w:p>
    <w:p w14:paraId="635DD8E8"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If an employee can identify themselves based on their own knowledge of the case, and effective anonymisation has been carried out to remove their personal data, this does not necessarily mean others can identify them. The motivated intruder test is about whether the intended audience could reasonably identify them. If the learning output from the misconduct case is genuinely anonymous to all its recipients, it is not personal data. However, the process of producing an anonymised learning output is still processing the data of the individuals involved. The individuals involved will have data protection rights, including the right to be informed on these activities. </w:t>
      </w:r>
    </w:p>
    <w:p w14:paraId="22573644"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If some of the intended audience is likely to identify an individual involved in the finalised learning output,</w:t>
      </w:r>
      <w:r w:rsidRPr="68AAF936" w:rsidDel="00E71799">
        <w:rPr>
          <w:rFonts w:eastAsia="Arial" w:cs="Arial"/>
          <w:kern w:val="2"/>
          <w14:ligatures w14:val="standardContextual"/>
        </w:rPr>
        <w:t xml:space="preserve"> </w:t>
      </w:r>
      <w:r w:rsidRPr="68AAF936">
        <w:rPr>
          <w:rFonts w:eastAsia="Arial" w:cs="Arial"/>
          <w:kern w:val="2"/>
          <w14:ligatures w14:val="standardContextual"/>
        </w:rPr>
        <w:t>such as the employee's own team or service, it is personal data in that context, and the learning should never be shared.</w:t>
      </w:r>
    </w:p>
    <w:p w14:paraId="06C99D75" w14:textId="77777777" w:rsidR="00DB7F3B" w:rsidRPr="00DB7F3B" w:rsidRDefault="00DB7F3B" w:rsidP="68AAF936">
      <w:pPr>
        <w:spacing w:after="160" w:line="278" w:lineRule="auto"/>
        <w:rPr>
          <w:rFonts w:eastAsia="Arial" w:cs="Arial"/>
          <w:b/>
          <w:bCs/>
          <w:kern w:val="2"/>
          <w14:ligatures w14:val="standardContextual"/>
        </w:rPr>
      </w:pPr>
    </w:p>
    <w:p w14:paraId="7FAA414E"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 xml:space="preserve">Example: </w:t>
      </w:r>
      <w:r w:rsidRPr="68AAF936">
        <w:rPr>
          <w:rFonts w:eastAsia="Arial" w:cs="Arial"/>
          <w:kern w:val="2"/>
          <w14:ligatures w14:val="standardContextual"/>
        </w:rPr>
        <w:t>a dismissed employee reads a NFCC thematic report and recognises that a reference to “delays in arranging a disciplinary hearing” is about their case. If the report was anonymised and nobody else could link it to them, the report is not their personal data. However, if the report included details that allowed former colleagues to identify the dismissed employee, the fire and rescue service should treat this as a potential personal data breach. They should seek advice from their DPO and consider withdrawing or amending the report.</w:t>
      </w:r>
    </w:p>
    <w:p w14:paraId="41984931"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In either case, a service's data privacy notice should have still told the employee that case records may be used to identify learning and provided them with information about their right to object.</w:t>
      </w:r>
    </w:p>
    <w:p w14:paraId="0A3CC062" w14:textId="77777777" w:rsidR="00DB7F3B" w:rsidRPr="00DB7F3B" w:rsidRDefault="00DB7F3B" w:rsidP="68AAF936">
      <w:pPr>
        <w:spacing w:after="160" w:line="278" w:lineRule="auto"/>
        <w:rPr>
          <w:rFonts w:eastAsia="Arial" w:cs="Arial"/>
          <w:kern w:val="2"/>
          <w14:ligatures w14:val="standardContextual"/>
        </w:rPr>
      </w:pPr>
    </w:p>
    <w:p w14:paraId="57AD3270" w14:textId="77777777" w:rsidR="00DB7F3B" w:rsidRPr="00DB7F3B" w:rsidRDefault="7E4B1A9A" w:rsidP="68AAF936">
      <w:pPr>
        <w:pStyle w:val="Heading3"/>
        <w:rPr>
          <w:rFonts w:eastAsia="Arial" w:cs="Arial"/>
          <w:sz w:val="28"/>
          <w:szCs w:val="28"/>
        </w:rPr>
      </w:pPr>
      <w:r w:rsidRPr="68AAF936">
        <w:rPr>
          <w:rFonts w:eastAsia="Arial" w:cs="Arial"/>
          <w:sz w:val="28"/>
          <w:szCs w:val="28"/>
        </w:rPr>
        <w:t>6.2.2 Data protection for sharing learning internally</w:t>
      </w:r>
    </w:p>
    <w:p w14:paraId="2A74CD6D"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Local data protection policy should be followed when sharing learning internally within services. The sharing of case learning internally is covered by the UK GDPR (General Data Protection Regulation), Data Protection Act 2018, and Data (Use and Access) Act 2025. </w:t>
      </w:r>
    </w:p>
    <w:p w14:paraId="5DF9A729"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The following conditions must be met for a learning</w:t>
      </w:r>
      <w:r w:rsidRPr="68AAF936" w:rsidDel="00717254">
        <w:rPr>
          <w:rFonts w:eastAsia="Arial" w:cs="Arial"/>
          <w:kern w:val="2"/>
          <w14:ligatures w14:val="standardContextual"/>
        </w:rPr>
        <w:t xml:space="preserve"> output</w:t>
      </w:r>
      <w:r w:rsidRPr="68AAF936">
        <w:rPr>
          <w:rFonts w:eastAsia="Arial" w:cs="Arial"/>
          <w:kern w:val="2"/>
          <w14:ligatures w14:val="standardContextual"/>
        </w:rPr>
        <w:t xml:space="preserve"> to meet the criteria for safe internal sharing:</w:t>
      </w:r>
    </w:p>
    <w:p w14:paraId="4D8EC48F" w14:textId="77777777" w:rsidR="00DB7F3B" w:rsidRPr="00DB7F3B" w:rsidRDefault="7E4B1A9A" w:rsidP="68AAF936">
      <w:pPr>
        <w:numPr>
          <w:ilvl w:val="0"/>
          <w:numId w:val="31"/>
        </w:numPr>
        <w:spacing w:after="160" w:line="278" w:lineRule="auto"/>
        <w:contextualSpacing/>
        <w:rPr>
          <w:rFonts w:eastAsia="Arial" w:cs="Arial"/>
          <w:kern w:val="2"/>
          <w14:ligatures w14:val="standardContextual"/>
        </w:rPr>
      </w:pPr>
      <w:hyperlink r:id="rId28" w:history="1">
        <w:r w:rsidRPr="68AAF936">
          <w:rPr>
            <w:rFonts w:eastAsia="Arial" w:cs="Arial"/>
            <w:color w:val="467886"/>
            <w:kern w:val="2"/>
            <w:u w:val="single"/>
            <w14:ligatures w14:val="standardContextual"/>
          </w:rPr>
          <w:t>According to the ICO</w:t>
        </w:r>
      </w:hyperlink>
      <w:r w:rsidRPr="68AAF936">
        <w:rPr>
          <w:rFonts w:eastAsia="Arial" w:cs="Arial"/>
          <w:kern w:val="2"/>
          <w14:ligatures w14:val="standardContextual"/>
        </w:rPr>
        <w:t>, data processing must be proven necessary for a purpose. Necessary means there is a targeted, reasonable, and proportionate way of achieving a specific purpose, with a lawful basis to do so.</w:t>
      </w:r>
      <w:r w:rsidRPr="68AAF936">
        <w:rPr>
          <w:rFonts w:eastAsia="Arial" w:cs="Arial"/>
          <w:b/>
          <w:bCs/>
          <w:kern w:val="2"/>
          <w14:ligatures w14:val="standardContextual"/>
        </w:rPr>
        <w:t xml:space="preserve">  </w:t>
      </w:r>
    </w:p>
    <w:p w14:paraId="791774AB"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13E3B258" w14:textId="77777777" w:rsidR="00DB7F3B" w:rsidRPr="00DB7F3B" w:rsidRDefault="7E4B1A9A" w:rsidP="68AAF936">
      <w:pPr>
        <w:numPr>
          <w:ilvl w:val="0"/>
          <w:numId w:val="31"/>
        </w:numPr>
        <w:spacing w:after="160" w:line="278" w:lineRule="auto"/>
        <w:contextualSpacing/>
        <w:rPr>
          <w:rFonts w:eastAsia="Arial" w:cs="Arial"/>
          <w:kern w:val="2"/>
          <w14:ligatures w14:val="standardContextual"/>
        </w:rPr>
      </w:pPr>
      <w:hyperlink r:id="rId29" w:history="1">
        <w:r w:rsidRPr="68AAF936">
          <w:rPr>
            <w:rFonts w:eastAsia="Arial" w:cs="Arial"/>
            <w:color w:val="467886"/>
            <w:kern w:val="2"/>
            <w:u w:val="single"/>
            <w14:ligatures w14:val="standardContextual"/>
          </w:rPr>
          <w:t>The ICO states</w:t>
        </w:r>
      </w:hyperlink>
      <w:r w:rsidRPr="68AAF936">
        <w:rPr>
          <w:rFonts w:eastAsia="Arial" w:cs="Arial"/>
          <w:kern w:val="2"/>
          <w14:ligatures w14:val="standardContextual"/>
        </w:rPr>
        <w:t xml:space="preserve"> that any processing activity must have a lawful basis under Article 6 of the UK GDPR. Services should seek advice from their data protection officer regarding the appropriate lawful basis for processing and sharing misconduct learning internally.</w:t>
      </w:r>
      <w:r w:rsidR="00DB7F3B">
        <w:br/>
      </w:r>
    </w:p>
    <w:p w14:paraId="213D94F1" w14:textId="77777777" w:rsidR="00DB7F3B" w:rsidRPr="00DB7F3B" w:rsidRDefault="7E4B1A9A" w:rsidP="68AAF936">
      <w:pPr>
        <w:numPr>
          <w:ilvl w:val="0"/>
          <w:numId w:val="31"/>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Processing special category data or criminal offence data requires an additional lawful basis. Special category data is also known as highly sensitive data. If special category data is involved Article 9 UK GDPR must also be followed. If criminal offence data is involved, Article 10 UK GDPR must also be followed. </w:t>
      </w:r>
    </w:p>
    <w:p w14:paraId="52879327" w14:textId="77777777" w:rsidR="00DB7F3B" w:rsidRPr="00DB7F3B" w:rsidRDefault="7E4B1A9A" w:rsidP="68AAF936">
      <w:pPr>
        <w:numPr>
          <w:ilvl w:val="1"/>
          <w:numId w:val="31"/>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Guidance from the ICO on lawful bases for processing, special category and criminal offence data can be found here:</w:t>
      </w:r>
    </w:p>
    <w:p w14:paraId="36252273" w14:textId="77777777" w:rsidR="00DB7F3B" w:rsidRPr="00DB7F3B" w:rsidRDefault="7E4B1A9A" w:rsidP="68AAF936">
      <w:pPr>
        <w:numPr>
          <w:ilvl w:val="2"/>
          <w:numId w:val="31"/>
        </w:numPr>
        <w:spacing w:after="160" w:line="278" w:lineRule="auto"/>
        <w:contextualSpacing/>
        <w:rPr>
          <w:rFonts w:eastAsia="Arial" w:cs="Arial"/>
          <w:kern w:val="2"/>
          <w14:ligatures w14:val="standardContextual"/>
        </w:rPr>
      </w:pPr>
      <w:hyperlink r:id="rId30" w:history="1">
        <w:r w:rsidRPr="68AAF936">
          <w:rPr>
            <w:rFonts w:eastAsia="Arial" w:cs="Arial"/>
            <w:color w:val="467886"/>
            <w:kern w:val="2"/>
            <w:u w:val="single"/>
            <w14:ligatures w14:val="standardContextual"/>
          </w:rPr>
          <w:t>A guide to lawful basis</w:t>
        </w:r>
      </w:hyperlink>
    </w:p>
    <w:p w14:paraId="49A7631A" w14:textId="77777777" w:rsidR="00DB7F3B" w:rsidRPr="00DB7F3B" w:rsidRDefault="7E4B1A9A" w:rsidP="68AAF936">
      <w:pPr>
        <w:numPr>
          <w:ilvl w:val="2"/>
          <w:numId w:val="31"/>
        </w:numPr>
        <w:spacing w:after="160" w:line="278" w:lineRule="auto"/>
        <w:contextualSpacing/>
        <w:rPr>
          <w:rFonts w:eastAsia="Arial" w:cs="Arial"/>
          <w:kern w:val="2"/>
          <w14:ligatures w14:val="standardContextual"/>
        </w:rPr>
      </w:pPr>
      <w:hyperlink r:id="rId31" w:history="1">
        <w:r w:rsidRPr="68AAF936">
          <w:rPr>
            <w:rFonts w:eastAsia="Arial" w:cs="Arial"/>
            <w:color w:val="467886"/>
            <w:kern w:val="2"/>
            <w:u w:val="single"/>
            <w14:ligatures w14:val="standardContextual"/>
          </w:rPr>
          <w:t>Special category data</w:t>
        </w:r>
      </w:hyperlink>
      <w:r w:rsidRPr="68AAF936">
        <w:rPr>
          <w:rFonts w:eastAsia="Arial" w:cs="Arial"/>
          <w:kern w:val="2"/>
          <w14:ligatures w14:val="standardContextual"/>
        </w:rPr>
        <w:t xml:space="preserve"> </w:t>
      </w:r>
    </w:p>
    <w:p w14:paraId="3591C7AB" w14:textId="77777777" w:rsidR="00DB7F3B" w:rsidRPr="00DB7F3B" w:rsidRDefault="7E4B1A9A" w:rsidP="68AAF936">
      <w:pPr>
        <w:numPr>
          <w:ilvl w:val="2"/>
          <w:numId w:val="31"/>
        </w:numPr>
        <w:spacing w:after="160" w:line="278" w:lineRule="auto"/>
        <w:contextualSpacing/>
        <w:rPr>
          <w:rFonts w:eastAsia="Arial" w:cs="Arial"/>
          <w:kern w:val="2"/>
          <w14:ligatures w14:val="standardContextual"/>
        </w:rPr>
      </w:pPr>
      <w:hyperlink r:id="rId32" w:history="1">
        <w:r w:rsidRPr="68AAF936">
          <w:rPr>
            <w:rFonts w:eastAsia="Arial" w:cs="Arial"/>
            <w:color w:val="467886"/>
            <w:kern w:val="2"/>
            <w:u w:val="single"/>
            <w14:ligatures w14:val="standardContextual"/>
          </w:rPr>
          <w:t>Criminal offence data</w:t>
        </w:r>
      </w:hyperlink>
      <w:r w:rsidRPr="68AAF936">
        <w:rPr>
          <w:rFonts w:eastAsia="Arial" w:cs="Arial"/>
          <w:kern w:val="2"/>
          <w14:ligatures w14:val="standardContextual"/>
        </w:rPr>
        <w:t xml:space="preserve"> </w:t>
      </w:r>
    </w:p>
    <w:p w14:paraId="34A5C230" w14:textId="77777777" w:rsidR="00DB7F3B" w:rsidRPr="00DB7F3B" w:rsidRDefault="00DB7F3B" w:rsidP="68AAF936">
      <w:pPr>
        <w:spacing w:after="160" w:line="278" w:lineRule="auto"/>
        <w:rPr>
          <w:rFonts w:eastAsia="Arial" w:cs="Arial"/>
          <w:kern w:val="2"/>
          <w14:ligatures w14:val="standardContextual"/>
        </w:rPr>
      </w:pPr>
    </w:p>
    <w:p w14:paraId="561787D3" w14:textId="77777777" w:rsidR="00DB7F3B" w:rsidRPr="00DB7F3B" w:rsidRDefault="7E4B1A9A" w:rsidP="68AAF936">
      <w:pPr>
        <w:numPr>
          <w:ilvl w:val="0"/>
          <w:numId w:val="31"/>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Appropriate safeguards must also be in place. Safeguards for sharing learning data internally include but are not limited to:</w:t>
      </w:r>
    </w:p>
    <w:p w14:paraId="5FC28211"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4404ACE7" w14:textId="77777777" w:rsidR="00DB7F3B" w:rsidRPr="00DB7F3B" w:rsidRDefault="7E4B1A9A" w:rsidP="68AAF936">
      <w:pPr>
        <w:spacing w:after="160" w:line="278" w:lineRule="auto"/>
        <w:ind w:left="720"/>
        <w:contextualSpacing/>
        <w:rPr>
          <w:rFonts w:eastAsia="Arial" w:cs="Arial"/>
          <w:b/>
          <w:bCs/>
          <w:kern w:val="2"/>
          <w14:ligatures w14:val="standardContextual"/>
        </w:rPr>
      </w:pPr>
      <w:r w:rsidRPr="68AAF936">
        <w:rPr>
          <w:rFonts w:eastAsia="Arial" w:cs="Arial"/>
          <w:b/>
          <w:bCs/>
          <w:kern w:val="2"/>
          <w14:ligatures w14:val="standardContextual"/>
        </w:rPr>
        <w:t>Anonymisation</w:t>
      </w:r>
    </w:p>
    <w:p w14:paraId="0269F4E3" w14:textId="77777777" w:rsidR="00DB7F3B" w:rsidRPr="00DB7F3B" w:rsidDel="008B2F90" w:rsidRDefault="7E4B1A9A" w:rsidP="68AAF936">
      <w:pPr>
        <w:spacing w:after="160" w:line="278" w:lineRule="auto"/>
        <w:ind w:left="720"/>
        <w:contextualSpacing/>
        <w:rPr>
          <w:rFonts w:eastAsia="Arial" w:cs="Arial"/>
          <w:kern w:val="2"/>
          <w14:ligatures w14:val="standardContextual"/>
        </w:rPr>
      </w:pPr>
      <w:r w:rsidRPr="68AAF936">
        <w:rPr>
          <w:rFonts w:eastAsia="Arial" w:cs="Arial"/>
          <w:kern w:val="2"/>
          <w14:ligatures w14:val="standardContextual"/>
        </w:rPr>
        <w:t xml:space="preserve">Wherever possible, data shared in internal or external learning cases should be fully anonymised, and only what is necessary to achieve the specified purpose should be shared. Here is </w:t>
      </w:r>
      <w:hyperlink r:id="rId33" w:history="1">
        <w:r w:rsidRPr="68AAF936">
          <w:rPr>
            <w:rFonts w:eastAsia="Arial" w:cs="Arial"/>
            <w:color w:val="467886"/>
            <w:kern w:val="2"/>
            <w:u w:val="single"/>
            <w14:ligatures w14:val="standardContextual"/>
          </w:rPr>
          <w:t>guidance from the ICO on anonymisation.</w:t>
        </w:r>
      </w:hyperlink>
      <w:r w:rsidRPr="68AAF936">
        <w:rPr>
          <w:rFonts w:eastAsia="Arial" w:cs="Arial"/>
          <w:kern w:val="2"/>
          <w14:ligatures w14:val="standardContextual"/>
        </w:rPr>
        <w:t xml:space="preserve"> </w:t>
      </w:r>
      <w:r w:rsidR="00DB7F3B">
        <w:br/>
      </w:r>
      <w:r w:rsidR="00DB7F3B">
        <w:br/>
      </w:r>
      <w:r w:rsidRPr="68AAF936">
        <w:rPr>
          <w:rFonts w:eastAsia="Arial" w:cs="Arial"/>
          <w:kern w:val="2"/>
          <w14:ligatures w14:val="standardContextual"/>
        </w:rPr>
        <w:t>In practice, this can be implemented by sharing learning where unnecessary or sensitive case details are not referenced, subjects are anonymised, and only the necessary learning is shared as part of the learning exercise</w:t>
      </w:r>
    </w:p>
    <w:p w14:paraId="35E44936"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11D95E8F" w14:textId="77777777" w:rsidR="00DB7F3B" w:rsidRPr="00DB7F3B" w:rsidRDefault="7E4B1A9A" w:rsidP="68AAF936">
      <w:pPr>
        <w:spacing w:after="160" w:line="278" w:lineRule="auto"/>
        <w:ind w:left="720"/>
        <w:contextualSpacing/>
        <w:rPr>
          <w:rFonts w:eastAsia="Arial" w:cs="Arial"/>
          <w:kern w:val="2"/>
          <w14:ligatures w14:val="standardContextual"/>
        </w:rPr>
      </w:pPr>
      <w:r w:rsidRPr="68AAF936">
        <w:rPr>
          <w:rFonts w:eastAsia="Arial" w:cs="Arial"/>
          <w:kern w:val="2"/>
          <w14:ligatures w14:val="standardContextual"/>
        </w:rPr>
        <w:t>Care should be taken to ensure individuals could not reasonably be identifiable to anybody within the intended audience. This can be determined using the two-stage identifiability test. Please refer to the two-stage identifiability test section of the guidance for more information.</w:t>
      </w:r>
    </w:p>
    <w:p w14:paraId="5B0D586F"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2A0674EA" w14:textId="77777777" w:rsidR="00DB7F3B" w:rsidRPr="00DB7F3B" w:rsidDel="008B2F90" w:rsidRDefault="7E4B1A9A" w:rsidP="68AAF936">
      <w:pPr>
        <w:spacing w:after="160" w:line="278" w:lineRule="auto"/>
        <w:ind w:left="720"/>
        <w:contextualSpacing/>
        <w:rPr>
          <w:rFonts w:eastAsia="Arial" w:cs="Arial"/>
          <w:b/>
          <w:bCs/>
          <w:kern w:val="2"/>
          <w14:ligatures w14:val="standardContextual"/>
        </w:rPr>
      </w:pPr>
      <w:r w:rsidRPr="68AAF936">
        <w:rPr>
          <w:rFonts w:eastAsia="Arial" w:cs="Arial"/>
          <w:b/>
          <w:bCs/>
          <w:kern w:val="2"/>
          <w14:ligatures w14:val="standardContextual"/>
        </w:rPr>
        <w:t>Processing data safely</w:t>
      </w:r>
    </w:p>
    <w:p w14:paraId="54BFFFA3" w14:textId="77777777" w:rsidR="00DB7F3B" w:rsidRPr="00DB7F3B" w:rsidRDefault="7E4B1A9A" w:rsidP="68AAF936">
      <w:pPr>
        <w:spacing w:after="160" w:line="278" w:lineRule="auto"/>
        <w:ind w:left="720"/>
        <w:contextualSpacing/>
        <w:rPr>
          <w:rFonts w:eastAsia="Arial" w:cs="Arial"/>
          <w:kern w:val="2"/>
          <w14:ligatures w14:val="standardContextual"/>
        </w:rPr>
      </w:pPr>
      <w:r w:rsidRPr="68AAF936">
        <w:rPr>
          <w:rFonts w:eastAsia="Arial" w:cs="Arial"/>
          <w:kern w:val="2"/>
          <w14:ligatures w14:val="standardContextual"/>
        </w:rPr>
        <w:t>Data</w:t>
      </w:r>
      <w:r w:rsidRPr="68AAF936" w:rsidDel="00A654E2">
        <w:rPr>
          <w:rFonts w:eastAsia="Arial" w:cs="Arial"/>
          <w:kern w:val="2"/>
          <w14:ligatures w14:val="standardContextual"/>
        </w:rPr>
        <w:t xml:space="preserve"> </w:t>
      </w:r>
      <w:r w:rsidRPr="68AAF936">
        <w:rPr>
          <w:rFonts w:eastAsia="Arial" w:cs="Arial"/>
          <w:kern w:val="2"/>
          <w14:ligatures w14:val="standardContextual"/>
        </w:rPr>
        <w:t>processed for learning should not cause damage or distress, have a harmful impact, influence case decisions or outcomes, or result in repercussions for the individuals involved. This is true whether the data is processed internally or shared externally</w:t>
      </w:r>
    </w:p>
    <w:p w14:paraId="64BEE6C1" w14:textId="77777777" w:rsidR="00DB7F3B" w:rsidRPr="00DB7F3B" w:rsidRDefault="7E4B1A9A" w:rsidP="68AAF936">
      <w:pPr>
        <w:spacing w:after="160" w:line="278" w:lineRule="auto"/>
        <w:ind w:left="720"/>
        <w:rPr>
          <w:rFonts w:eastAsia="Arial" w:cs="Arial"/>
          <w:kern w:val="2"/>
          <w14:ligatures w14:val="standardContextual"/>
        </w:rPr>
      </w:pPr>
      <w:r w:rsidRPr="68AAF936">
        <w:rPr>
          <w:rFonts w:eastAsia="Arial" w:cs="Arial"/>
          <w:kern w:val="2"/>
          <w14:ligatures w14:val="standardContextual"/>
        </w:rPr>
        <w:t>Processing that causes unnecessary harm, distress, or adverse impacts may indicate that the processing is not compliant with data protection principles such as fairness, necessity, and proportionality</w:t>
      </w:r>
    </w:p>
    <w:p w14:paraId="0AA77274" w14:textId="77777777" w:rsidR="00DB7F3B" w:rsidRPr="00DB7F3B" w:rsidRDefault="7E4B1A9A" w:rsidP="68AAF936">
      <w:pPr>
        <w:spacing w:after="160" w:line="278" w:lineRule="auto"/>
        <w:ind w:left="720"/>
        <w:rPr>
          <w:rFonts w:eastAsia="Arial" w:cs="Arial"/>
          <w:kern w:val="2"/>
          <w14:ligatures w14:val="standardContextual"/>
        </w:rPr>
      </w:pPr>
      <w:r w:rsidRPr="68AAF936">
        <w:rPr>
          <w:rFonts w:eastAsia="Arial" w:cs="Arial"/>
          <w:kern w:val="2"/>
          <w14:ligatures w14:val="standardContextual"/>
        </w:rPr>
        <w:t>In practice, this can be implemented by sharing learning where unnecessary or sensitive case details are not referenced, subjects are anonymised, and only the necessary ‘lessons learnt’ are shared as part of the learning exercise</w:t>
      </w:r>
      <w:r w:rsidR="00DB7F3B">
        <w:br/>
      </w:r>
    </w:p>
    <w:p w14:paraId="54DE74AD" w14:textId="77777777" w:rsidR="00DB7F3B" w:rsidRPr="00DB7F3B" w:rsidRDefault="7E4B1A9A" w:rsidP="68AAF936">
      <w:pPr>
        <w:spacing w:after="160" w:line="278" w:lineRule="auto"/>
        <w:ind w:left="720"/>
        <w:rPr>
          <w:rFonts w:eastAsia="Arial" w:cs="Arial"/>
          <w:b/>
          <w:bCs/>
          <w:kern w:val="2"/>
          <w14:ligatures w14:val="standardContextual"/>
        </w:rPr>
      </w:pPr>
      <w:r w:rsidRPr="68AAF936">
        <w:rPr>
          <w:rFonts w:eastAsia="Arial" w:cs="Arial"/>
          <w:b/>
          <w:bCs/>
          <w:kern w:val="2"/>
          <w14:ligatures w14:val="standardContextual"/>
        </w:rPr>
        <w:t>Data Protection Impact Assessment (DPIA)</w:t>
      </w:r>
      <w:r w:rsidR="00DB7F3B">
        <w:br/>
      </w:r>
      <w:r w:rsidRPr="68AAF936">
        <w:rPr>
          <w:rFonts w:eastAsia="Arial" w:cs="Arial"/>
          <w:kern w:val="2"/>
          <w14:ligatures w14:val="standardContextual"/>
        </w:rPr>
        <w:t xml:space="preserve">Services should complete a DPIA for the processes they use to identify and share learning from misconduct. The ICO define a DPIA as “a process designed to help you systematically analyse, identify and minimise the data protection risks of a project or plan.” On its website, the ICO provide </w:t>
      </w:r>
      <w:hyperlink r:id="rId34" w:anchor="what1" w:history="1">
        <w:r w:rsidRPr="68AAF936">
          <w:rPr>
            <w:rFonts w:eastAsia="Arial" w:cs="Arial"/>
            <w:color w:val="467886"/>
            <w:kern w:val="2"/>
            <w:u w:val="single"/>
            <w14:ligatures w14:val="standardContextual"/>
          </w:rPr>
          <w:t>guidance and a template for completing a DPIA</w:t>
        </w:r>
      </w:hyperlink>
      <w:r w:rsidRPr="68AAF936">
        <w:rPr>
          <w:rFonts w:eastAsia="Arial" w:cs="Arial"/>
          <w:kern w:val="2"/>
          <w14:ligatures w14:val="standardContextual"/>
        </w:rPr>
        <w:t>.</w:t>
      </w:r>
    </w:p>
    <w:p w14:paraId="752EF4F3"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257801E5" w14:textId="77777777" w:rsidR="00DB7F3B" w:rsidRPr="00DB7F3B" w:rsidRDefault="7E4B1A9A" w:rsidP="68AAF936">
      <w:pPr>
        <w:spacing w:after="160" w:line="278" w:lineRule="auto"/>
        <w:ind w:left="720"/>
        <w:contextualSpacing/>
        <w:rPr>
          <w:rFonts w:eastAsia="Arial" w:cs="Arial"/>
          <w:b/>
          <w:bCs/>
          <w:kern w:val="2"/>
          <w14:ligatures w14:val="standardContextual"/>
        </w:rPr>
      </w:pPr>
      <w:r w:rsidRPr="68AAF936">
        <w:rPr>
          <w:rFonts w:eastAsia="Arial" w:cs="Arial"/>
          <w:b/>
          <w:bCs/>
          <w:kern w:val="2"/>
          <w14:ligatures w14:val="standardContextual"/>
        </w:rPr>
        <w:t>Seek advice from the service's Data Protection Officer (DPO)</w:t>
      </w:r>
    </w:p>
    <w:p w14:paraId="07ED6C29" w14:textId="77777777" w:rsidR="00DB7F3B" w:rsidRPr="00DB7F3B" w:rsidRDefault="7E4B1A9A" w:rsidP="68AAF936">
      <w:pPr>
        <w:spacing w:after="160" w:line="278" w:lineRule="auto"/>
        <w:ind w:left="720"/>
        <w:contextualSpacing/>
        <w:rPr>
          <w:rFonts w:eastAsia="Arial" w:cs="Arial"/>
          <w:kern w:val="2"/>
          <w14:ligatures w14:val="standardContextual"/>
        </w:rPr>
      </w:pPr>
      <w:r w:rsidRPr="68AAF936">
        <w:rPr>
          <w:rFonts w:eastAsia="Arial" w:cs="Arial"/>
          <w:kern w:val="2"/>
          <w14:ligatures w14:val="standardContextual"/>
        </w:rPr>
        <w:t>Services should seek advice from their local DPO for data protection advice relating to the processing of data for learning purposes and where necessary, legal advice.</w:t>
      </w:r>
    </w:p>
    <w:p w14:paraId="3A5B1CB0"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546863D4" w14:textId="77777777" w:rsidR="00DB7F3B" w:rsidRPr="00DB7F3B" w:rsidRDefault="7E4B1A9A" w:rsidP="68AAF936">
      <w:pPr>
        <w:pStyle w:val="Heading3"/>
        <w:rPr>
          <w:rFonts w:eastAsia="Arial" w:cs="Arial"/>
          <w:sz w:val="28"/>
          <w:szCs w:val="28"/>
        </w:rPr>
      </w:pPr>
      <w:r w:rsidRPr="68AAF936">
        <w:rPr>
          <w:rFonts w:eastAsia="Arial" w:cs="Arial"/>
          <w:sz w:val="28"/>
          <w:szCs w:val="28"/>
        </w:rPr>
        <w:t>6.2.3 Data protection for sharing learning externally</w:t>
      </w:r>
    </w:p>
    <w:p w14:paraId="43CA9854"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The following conditions must be met for a learning output from a misconduct case to meet the criteria for safe external sharing:</w:t>
      </w:r>
    </w:p>
    <w:p w14:paraId="4E429FF6" w14:textId="77777777" w:rsidR="00DB7F3B" w:rsidRPr="00DB7F3B" w:rsidRDefault="7E4B1A9A" w:rsidP="68AAF936">
      <w:pPr>
        <w:numPr>
          <w:ilvl w:val="0"/>
          <w:numId w:val="32"/>
        </w:numPr>
        <w:spacing w:after="160" w:line="278" w:lineRule="auto"/>
        <w:contextualSpacing/>
        <w:rPr>
          <w:rFonts w:eastAsia="Arial" w:cs="Arial"/>
          <w:kern w:val="2"/>
          <w14:ligatures w14:val="standardContextual"/>
        </w:rPr>
      </w:pPr>
      <w:hyperlink r:id="rId35" w:history="1">
        <w:r w:rsidRPr="68AAF936">
          <w:rPr>
            <w:rFonts w:eastAsia="Arial" w:cs="Arial"/>
            <w:color w:val="467886"/>
            <w:kern w:val="2"/>
            <w:u w:val="single"/>
            <w14:ligatures w14:val="standardContextual"/>
          </w:rPr>
          <w:t>According to the ICO</w:t>
        </w:r>
      </w:hyperlink>
      <w:r w:rsidRPr="68AAF936">
        <w:rPr>
          <w:rFonts w:eastAsia="Arial" w:cs="Arial"/>
          <w:kern w:val="2"/>
          <w14:ligatures w14:val="standardContextual"/>
        </w:rPr>
        <w:t>, data processing must be proven necessary for a purpose. Necessary means there is a targeted, reasonable, and proportionate way of achieving a specific purpose, with a lawful basis to do so.</w:t>
      </w:r>
      <w:r w:rsidRPr="68AAF936">
        <w:rPr>
          <w:rFonts w:eastAsia="Arial" w:cs="Arial"/>
          <w:b/>
          <w:bCs/>
          <w:kern w:val="2"/>
          <w14:ligatures w14:val="standardContextual"/>
        </w:rPr>
        <w:t xml:space="preserve">  </w:t>
      </w:r>
    </w:p>
    <w:p w14:paraId="6CFF8B36"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228C9792" w14:textId="77777777" w:rsidR="00DB7F3B" w:rsidRPr="00DB7F3B" w:rsidRDefault="7E4B1A9A" w:rsidP="68AAF936">
      <w:pPr>
        <w:numPr>
          <w:ilvl w:val="0"/>
          <w:numId w:val="32"/>
        </w:numPr>
        <w:spacing w:after="160" w:line="278" w:lineRule="auto"/>
        <w:contextualSpacing/>
        <w:rPr>
          <w:rFonts w:eastAsia="Arial" w:cs="Arial"/>
          <w:kern w:val="2"/>
          <w14:ligatures w14:val="standardContextual"/>
        </w:rPr>
      </w:pPr>
      <w:hyperlink r:id="rId36" w:history="1">
        <w:r w:rsidRPr="68AAF936">
          <w:rPr>
            <w:rFonts w:eastAsia="Arial" w:cs="Arial"/>
            <w:color w:val="467886"/>
            <w:kern w:val="2"/>
            <w:u w:val="single"/>
            <w14:ligatures w14:val="standardContextual"/>
          </w:rPr>
          <w:t>The ICO states</w:t>
        </w:r>
      </w:hyperlink>
      <w:r w:rsidRPr="68AAF936">
        <w:rPr>
          <w:rFonts w:eastAsia="Arial" w:cs="Arial"/>
          <w:kern w:val="2"/>
          <w14:ligatures w14:val="standardContextual"/>
        </w:rPr>
        <w:t xml:space="preserve"> that any processing activity must have a lawful basis under Article 6 UK GDPR. Services should seek advice from their data protection officer regarding the appropriate lawful basis for processing and sharing misconduct learning internally.</w:t>
      </w:r>
      <w:r w:rsidR="00DB7F3B">
        <w:br/>
      </w:r>
    </w:p>
    <w:p w14:paraId="069F86BF" w14:textId="77777777" w:rsidR="00DB7F3B" w:rsidRPr="00DB7F3B" w:rsidRDefault="7E4B1A9A" w:rsidP="68AAF936">
      <w:pPr>
        <w:numPr>
          <w:ilvl w:val="0"/>
          <w:numId w:val="32"/>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Processing special category data or criminal offence data requires an additional lawful basis. If special category data is involved, Article 9 UK GDPR must also be followed. If criminal offence data is involved, Article 10 UK GDPR must also be followed. </w:t>
      </w:r>
    </w:p>
    <w:p w14:paraId="31010489" w14:textId="77777777" w:rsidR="00DB7F3B" w:rsidRPr="00DB7F3B" w:rsidRDefault="7E4B1A9A" w:rsidP="68AAF936">
      <w:pPr>
        <w:numPr>
          <w:ilvl w:val="1"/>
          <w:numId w:val="32"/>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Guidance from the ICO on lawful bases for processing, special category and criminal offence data can be found here: </w:t>
      </w:r>
    </w:p>
    <w:p w14:paraId="0F17C9A0" w14:textId="77777777" w:rsidR="00DB7F3B" w:rsidRPr="00DB7F3B" w:rsidRDefault="7E4B1A9A" w:rsidP="68AAF936">
      <w:pPr>
        <w:numPr>
          <w:ilvl w:val="2"/>
          <w:numId w:val="32"/>
        </w:numPr>
        <w:spacing w:after="160" w:line="278" w:lineRule="auto"/>
        <w:contextualSpacing/>
        <w:rPr>
          <w:rFonts w:eastAsia="Arial" w:cs="Arial"/>
          <w:kern w:val="2"/>
          <w14:ligatures w14:val="standardContextual"/>
        </w:rPr>
      </w:pPr>
      <w:hyperlink r:id="rId37" w:history="1">
        <w:r w:rsidRPr="68AAF936">
          <w:rPr>
            <w:rFonts w:eastAsia="Arial" w:cs="Arial"/>
            <w:color w:val="467886"/>
            <w:kern w:val="2"/>
            <w:u w:val="single"/>
            <w14:ligatures w14:val="standardContextual"/>
          </w:rPr>
          <w:t>A guide to lawful basis</w:t>
        </w:r>
      </w:hyperlink>
    </w:p>
    <w:p w14:paraId="1E9EA80A" w14:textId="77777777" w:rsidR="00DB7F3B" w:rsidRPr="00DB7F3B" w:rsidRDefault="7E4B1A9A" w:rsidP="68AAF936">
      <w:pPr>
        <w:numPr>
          <w:ilvl w:val="2"/>
          <w:numId w:val="32"/>
        </w:numPr>
        <w:spacing w:after="160" w:line="278" w:lineRule="auto"/>
        <w:contextualSpacing/>
        <w:rPr>
          <w:rFonts w:eastAsia="Arial" w:cs="Arial"/>
          <w:kern w:val="2"/>
          <w14:ligatures w14:val="standardContextual"/>
        </w:rPr>
      </w:pPr>
      <w:hyperlink r:id="rId38" w:history="1">
        <w:r w:rsidRPr="68AAF936">
          <w:rPr>
            <w:rFonts w:eastAsia="Arial" w:cs="Arial"/>
            <w:color w:val="467886"/>
            <w:kern w:val="2"/>
            <w:u w:val="single"/>
            <w14:ligatures w14:val="standardContextual"/>
          </w:rPr>
          <w:t>Special category data</w:t>
        </w:r>
      </w:hyperlink>
      <w:r w:rsidRPr="68AAF936">
        <w:rPr>
          <w:rFonts w:eastAsia="Arial" w:cs="Arial"/>
          <w:kern w:val="2"/>
          <w14:ligatures w14:val="standardContextual"/>
        </w:rPr>
        <w:t xml:space="preserve"> </w:t>
      </w:r>
    </w:p>
    <w:p w14:paraId="47A141DA" w14:textId="77777777" w:rsidR="00DB7F3B" w:rsidRPr="00DB7F3B" w:rsidRDefault="7E4B1A9A" w:rsidP="68AAF936">
      <w:pPr>
        <w:numPr>
          <w:ilvl w:val="2"/>
          <w:numId w:val="32"/>
        </w:numPr>
        <w:spacing w:after="160" w:line="278" w:lineRule="auto"/>
        <w:contextualSpacing/>
        <w:rPr>
          <w:rFonts w:eastAsia="Arial" w:cs="Arial"/>
          <w:kern w:val="2"/>
          <w14:ligatures w14:val="standardContextual"/>
        </w:rPr>
      </w:pPr>
      <w:hyperlink r:id="rId39" w:history="1">
        <w:r w:rsidRPr="68AAF936">
          <w:rPr>
            <w:rFonts w:eastAsia="Arial" w:cs="Arial"/>
            <w:color w:val="467886"/>
            <w:kern w:val="2"/>
            <w:u w:val="single"/>
            <w14:ligatures w14:val="standardContextual"/>
          </w:rPr>
          <w:t>Criminal offence data</w:t>
        </w:r>
      </w:hyperlink>
      <w:r w:rsidRPr="68AAF936">
        <w:rPr>
          <w:rFonts w:eastAsia="Arial" w:cs="Arial"/>
          <w:kern w:val="2"/>
          <w14:ligatures w14:val="standardContextual"/>
        </w:rPr>
        <w:t xml:space="preserve"> </w:t>
      </w:r>
    </w:p>
    <w:p w14:paraId="10682735" w14:textId="77777777" w:rsidR="00DB7F3B" w:rsidRPr="00DB7F3B" w:rsidRDefault="00DB7F3B" w:rsidP="68AAF936">
      <w:pPr>
        <w:spacing w:after="160" w:line="278" w:lineRule="auto"/>
        <w:rPr>
          <w:rFonts w:eastAsia="Arial" w:cs="Arial"/>
          <w:kern w:val="2"/>
          <w14:ligatures w14:val="standardContextual"/>
        </w:rPr>
      </w:pPr>
    </w:p>
    <w:p w14:paraId="06B4DC06" w14:textId="77777777" w:rsidR="00DB7F3B" w:rsidRPr="00DB7F3B" w:rsidRDefault="7E4B1A9A" w:rsidP="68AAF936">
      <w:pPr>
        <w:numPr>
          <w:ilvl w:val="0"/>
          <w:numId w:val="32"/>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Appropriate safeguards must also be in place. Safeguards for sharing learning data externally include but are not limited to:</w:t>
      </w:r>
    </w:p>
    <w:p w14:paraId="63697565" w14:textId="77777777" w:rsidR="00DB7F3B" w:rsidRPr="00DB7F3B" w:rsidRDefault="7E4B1A9A" w:rsidP="68AAF936">
      <w:pPr>
        <w:spacing w:after="160" w:line="278" w:lineRule="auto"/>
        <w:ind w:left="720"/>
        <w:rPr>
          <w:rFonts w:eastAsia="Arial" w:cs="Arial"/>
          <w:b/>
          <w:bCs/>
          <w:kern w:val="2"/>
          <w14:ligatures w14:val="standardContextual"/>
        </w:rPr>
      </w:pPr>
      <w:r w:rsidRPr="68AAF936">
        <w:rPr>
          <w:rFonts w:eastAsia="Arial" w:cs="Arial"/>
          <w:b/>
          <w:bCs/>
          <w:kern w:val="2"/>
          <w14:ligatures w14:val="standardContextual"/>
        </w:rPr>
        <w:t>Anonymisation</w:t>
      </w:r>
      <w:r w:rsidR="00DB7F3B">
        <w:br/>
      </w:r>
      <w:r w:rsidRPr="68AAF936">
        <w:rPr>
          <w:rFonts w:eastAsia="Arial" w:cs="Arial"/>
          <w:kern w:val="2"/>
          <w14:ligatures w14:val="standardContextual"/>
        </w:rPr>
        <w:t xml:space="preserve">Wherever possible, data shared in internal or external learning cases should be fully anonymised, and only what is necessary to achieve the specified purpose should be shared. Here is </w:t>
      </w:r>
      <w:hyperlink r:id="rId40" w:history="1">
        <w:r w:rsidRPr="68AAF936">
          <w:rPr>
            <w:rFonts w:eastAsia="Arial" w:cs="Arial"/>
            <w:color w:val="467886"/>
            <w:kern w:val="2"/>
            <w:u w:val="single"/>
            <w14:ligatures w14:val="standardContextual"/>
          </w:rPr>
          <w:t>guidance from the ICO on anonymisation.</w:t>
        </w:r>
      </w:hyperlink>
    </w:p>
    <w:p w14:paraId="5FC98BC4"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5203C381" w14:textId="77777777" w:rsidR="00DB7F3B" w:rsidRPr="00DB7F3B" w:rsidRDefault="7E4B1A9A" w:rsidP="68AAF936">
      <w:pPr>
        <w:spacing w:after="160" w:line="278" w:lineRule="auto"/>
        <w:ind w:left="720"/>
        <w:contextualSpacing/>
        <w:rPr>
          <w:rFonts w:eastAsia="Arial" w:cs="Arial"/>
          <w:kern w:val="2"/>
          <w14:ligatures w14:val="standardContextual"/>
        </w:rPr>
      </w:pPr>
      <w:r w:rsidRPr="68AAF936">
        <w:rPr>
          <w:rFonts w:eastAsia="Arial" w:cs="Arial"/>
          <w:kern w:val="2"/>
          <w14:ligatures w14:val="standardContextual"/>
        </w:rPr>
        <w:t>In practice, this can be implemented by sharing learning where unnecessary or sensitive case details are not referenced, subjects are anonymised, and only the necessary ‘lessons learnt’ are shared as part of the learning exercise.</w:t>
      </w:r>
    </w:p>
    <w:p w14:paraId="75701BE1" w14:textId="77777777" w:rsidR="00DB7F3B" w:rsidRPr="00DB7F3B" w:rsidRDefault="7E4B1A9A" w:rsidP="68AAF936">
      <w:pPr>
        <w:spacing w:after="160" w:line="278" w:lineRule="auto"/>
        <w:ind w:left="720"/>
        <w:contextualSpacing/>
        <w:rPr>
          <w:rFonts w:eastAsia="Arial" w:cs="Arial"/>
          <w:kern w:val="2"/>
          <w14:ligatures w14:val="standardContextual"/>
        </w:rPr>
      </w:pPr>
      <w:r w:rsidRPr="68AAF936">
        <w:rPr>
          <w:rFonts w:eastAsia="Arial" w:cs="Arial"/>
          <w:kern w:val="2"/>
          <w14:ligatures w14:val="standardContextual"/>
        </w:rPr>
        <w:t>Care should be taken to ensure individuals could not reasonably be identifiable to anybody within the intended audience. This can be determined using the two-stage identifiability test. Please refer to the two-stage identifiability test section of the guidance for more information.</w:t>
      </w:r>
    </w:p>
    <w:p w14:paraId="68EA75C8"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05B55AFE" w14:textId="77777777" w:rsidR="00DB7F3B" w:rsidRPr="00DB7F3B" w:rsidRDefault="7E4B1A9A" w:rsidP="68AAF936">
      <w:pPr>
        <w:spacing w:after="160" w:line="278" w:lineRule="auto"/>
        <w:ind w:left="720"/>
        <w:contextualSpacing/>
        <w:rPr>
          <w:rFonts w:eastAsia="Arial" w:cs="Arial"/>
          <w:b/>
          <w:bCs/>
          <w:kern w:val="2"/>
          <w14:ligatures w14:val="standardContextual"/>
        </w:rPr>
      </w:pPr>
      <w:r w:rsidRPr="68AAF936">
        <w:rPr>
          <w:rFonts w:eastAsia="Arial" w:cs="Arial"/>
          <w:b/>
          <w:bCs/>
          <w:kern w:val="2"/>
          <w14:ligatures w14:val="standardContextual"/>
        </w:rPr>
        <w:t>Processing data safely</w:t>
      </w:r>
    </w:p>
    <w:p w14:paraId="197073E1" w14:textId="77777777" w:rsidR="00DB7F3B" w:rsidRPr="00DB7F3B" w:rsidRDefault="7E4B1A9A" w:rsidP="68AAF936">
      <w:pPr>
        <w:spacing w:after="160" w:line="278" w:lineRule="auto"/>
        <w:ind w:left="720"/>
        <w:contextualSpacing/>
        <w:rPr>
          <w:rFonts w:eastAsia="Arial" w:cs="Arial"/>
          <w:b/>
          <w:bCs/>
          <w:kern w:val="2"/>
          <w14:ligatures w14:val="standardContextual"/>
        </w:rPr>
      </w:pPr>
      <w:r w:rsidRPr="68AAF936">
        <w:rPr>
          <w:rFonts w:eastAsia="Arial" w:cs="Arial"/>
          <w:kern w:val="2"/>
          <w14:ligatures w14:val="standardContextual"/>
        </w:rPr>
        <w:t>Data processed for learning should not cause damage or distress, have a harmful impact, influence case decisions or outcomes, or result in repercussions for the individuals involved. This is true whether the data is processed internally or shared externally</w:t>
      </w:r>
    </w:p>
    <w:p w14:paraId="0A1A3BA9" w14:textId="77777777" w:rsidR="00DB7F3B" w:rsidRPr="00DB7F3B" w:rsidRDefault="7E4B1A9A" w:rsidP="68AAF936">
      <w:pPr>
        <w:spacing w:after="160" w:line="278" w:lineRule="auto"/>
        <w:ind w:left="720"/>
        <w:rPr>
          <w:rFonts w:eastAsia="Arial" w:cs="Arial"/>
          <w:kern w:val="2"/>
          <w14:ligatures w14:val="standardContextual"/>
        </w:rPr>
      </w:pPr>
      <w:r w:rsidRPr="68AAF936">
        <w:rPr>
          <w:rFonts w:eastAsia="Arial" w:cs="Arial"/>
          <w:kern w:val="2"/>
          <w14:ligatures w14:val="standardContextual"/>
        </w:rPr>
        <w:t>Processing that causes unnecessary harm, distress, or adverse impacts may indicate that the processing is not compliant with data protection principles including fairness, necessity, and proportionality.</w:t>
      </w:r>
    </w:p>
    <w:p w14:paraId="2B6F695C" w14:textId="77777777" w:rsidR="00DB7F3B" w:rsidRPr="00DB7F3B" w:rsidRDefault="7E4B1A9A" w:rsidP="68AAF936">
      <w:pPr>
        <w:spacing w:after="160" w:line="278" w:lineRule="auto"/>
        <w:ind w:left="720"/>
        <w:rPr>
          <w:rFonts w:eastAsia="Arial" w:cs="Arial"/>
          <w:kern w:val="2"/>
          <w14:ligatures w14:val="standardContextual"/>
        </w:rPr>
      </w:pPr>
      <w:r w:rsidRPr="68AAF936">
        <w:rPr>
          <w:rFonts w:eastAsia="Arial" w:cs="Arial"/>
          <w:kern w:val="2"/>
          <w14:ligatures w14:val="standardContextual"/>
        </w:rPr>
        <w:t>In practice, this can be implemented by sharing learning in which unnecessary or sensitive case details are not referenced, where subjects are anonymised, and only the necessary learning is shared as part of the learning exercise</w:t>
      </w:r>
    </w:p>
    <w:p w14:paraId="6C29B347"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16CFA83A" w14:textId="77777777" w:rsidR="00DB7F3B" w:rsidRPr="00DB7F3B" w:rsidRDefault="7E4B1A9A" w:rsidP="68AAF936">
      <w:pPr>
        <w:spacing w:after="160" w:line="278" w:lineRule="auto"/>
        <w:ind w:left="720"/>
        <w:contextualSpacing/>
        <w:rPr>
          <w:rFonts w:eastAsia="Arial" w:cs="Arial"/>
          <w:b/>
          <w:bCs/>
          <w:kern w:val="2"/>
          <w14:ligatures w14:val="standardContextual"/>
        </w:rPr>
      </w:pPr>
      <w:r w:rsidRPr="68AAF936">
        <w:rPr>
          <w:rFonts w:eastAsia="Arial" w:cs="Arial"/>
          <w:b/>
          <w:bCs/>
          <w:kern w:val="2"/>
          <w14:ligatures w14:val="standardContextual"/>
        </w:rPr>
        <w:t>Data Protection Impact Assessment (DPIA)</w:t>
      </w:r>
    </w:p>
    <w:p w14:paraId="37756F3F" w14:textId="77777777" w:rsidR="00DB7F3B" w:rsidRPr="00DB7F3B" w:rsidRDefault="7E4B1A9A" w:rsidP="68AAF936">
      <w:pPr>
        <w:spacing w:after="160" w:line="278" w:lineRule="auto"/>
        <w:ind w:left="720"/>
        <w:contextualSpacing/>
        <w:rPr>
          <w:rFonts w:eastAsia="Arial" w:cs="Arial"/>
          <w:kern w:val="2"/>
          <w14:ligatures w14:val="standardContextual"/>
        </w:rPr>
      </w:pPr>
      <w:r w:rsidRPr="68AAF936">
        <w:rPr>
          <w:rFonts w:eastAsia="Arial" w:cs="Arial"/>
          <w:kern w:val="2"/>
          <w14:ligatures w14:val="standardContextual"/>
        </w:rPr>
        <w:t xml:space="preserve">Services should complete a DPIA for the processes they use to identify and share learning from misconduct. The ICO define a DPIA as “a process designed to help you systematically analyse, identify and minimise the data protection risks of a project or plan.” On its website, the ICO provide </w:t>
      </w:r>
      <w:hyperlink r:id="rId41" w:anchor="what1" w:history="1">
        <w:r w:rsidRPr="68AAF936">
          <w:rPr>
            <w:rFonts w:eastAsia="Arial" w:cs="Arial"/>
            <w:color w:val="467886"/>
            <w:kern w:val="2"/>
            <w:u w:val="single"/>
            <w14:ligatures w14:val="standardContextual"/>
          </w:rPr>
          <w:t>guidance and a template for completing a DPIA</w:t>
        </w:r>
      </w:hyperlink>
      <w:r w:rsidRPr="68AAF936">
        <w:rPr>
          <w:rFonts w:eastAsia="Arial" w:cs="Arial"/>
          <w:kern w:val="2"/>
          <w14:ligatures w14:val="standardContextual"/>
        </w:rPr>
        <w:t>.</w:t>
      </w:r>
    </w:p>
    <w:p w14:paraId="2F3983E0"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4C8506DC" w14:textId="77777777" w:rsidR="00DB7F3B" w:rsidRPr="00DB7F3B" w:rsidRDefault="7E4B1A9A" w:rsidP="68AAF936">
      <w:pPr>
        <w:spacing w:after="160" w:line="278" w:lineRule="auto"/>
        <w:ind w:left="720"/>
        <w:contextualSpacing/>
        <w:rPr>
          <w:rFonts w:eastAsia="Arial" w:cs="Arial"/>
          <w:kern w:val="2"/>
          <w14:ligatures w14:val="standardContextual"/>
        </w:rPr>
      </w:pPr>
      <w:r w:rsidRPr="68AAF936">
        <w:rPr>
          <w:rFonts w:eastAsia="Arial" w:cs="Arial"/>
          <w:b/>
          <w:bCs/>
          <w:kern w:val="2"/>
          <w14:ligatures w14:val="standardContextual"/>
        </w:rPr>
        <w:t>Seek internal data protection advice and advice from involved organisations</w:t>
      </w:r>
      <w:r w:rsidR="00DB7F3B">
        <w:br/>
      </w:r>
      <w:r w:rsidRPr="68AAF936">
        <w:rPr>
          <w:rFonts w:eastAsia="Arial" w:cs="Arial"/>
          <w:kern w:val="2"/>
          <w14:ligatures w14:val="standardContextual"/>
        </w:rPr>
        <w:t>When sharing with external organisations, services should seek internal data protection advice from their service (for example from their DPO) and advice from the external organisations involved on how data protection can be managed.</w:t>
      </w:r>
    </w:p>
    <w:p w14:paraId="266501A3" w14:textId="77777777" w:rsidR="00DB7F3B" w:rsidRPr="00DB7F3B" w:rsidRDefault="00DB7F3B" w:rsidP="68AAF936">
      <w:pPr>
        <w:spacing w:after="160" w:line="278" w:lineRule="auto"/>
        <w:ind w:left="720"/>
        <w:contextualSpacing/>
        <w:rPr>
          <w:rFonts w:eastAsia="Arial" w:cs="Arial"/>
          <w:b/>
          <w:bCs/>
          <w:kern w:val="2"/>
          <w14:ligatures w14:val="standardContextual"/>
        </w:rPr>
      </w:pPr>
    </w:p>
    <w:p w14:paraId="0BFC8A48" w14:textId="77777777" w:rsidR="00DB7F3B" w:rsidRPr="00DB7F3B" w:rsidRDefault="7E4B1A9A" w:rsidP="68AAF936">
      <w:pPr>
        <w:spacing w:after="160" w:line="278" w:lineRule="auto"/>
        <w:ind w:left="720"/>
        <w:contextualSpacing/>
        <w:rPr>
          <w:rFonts w:eastAsia="Arial" w:cs="Arial"/>
          <w:kern w:val="2"/>
          <w14:ligatures w14:val="standardContextual"/>
        </w:rPr>
      </w:pPr>
      <w:r w:rsidRPr="68AAF936">
        <w:rPr>
          <w:rFonts w:eastAsia="Arial" w:cs="Arial"/>
          <w:b/>
          <w:bCs/>
          <w:kern w:val="2"/>
          <w14:ligatures w14:val="standardContextual"/>
        </w:rPr>
        <w:t>Example</w:t>
      </w:r>
      <w:r w:rsidRPr="68AAF936">
        <w:rPr>
          <w:rFonts w:eastAsia="Arial" w:cs="Arial"/>
          <w:kern w:val="2"/>
          <w14:ligatures w14:val="standardContextual"/>
        </w:rPr>
        <w:t>: NFCC anonymises learning that is analysed and shared in reports or published notes. NFCC does this by grouping submissions by themes and removing reference to the fire and rescue services who submitted the information. This information is removed unless the service has given permission or the information is already available in the public domain.</w:t>
      </w:r>
    </w:p>
    <w:p w14:paraId="7251AB3E" w14:textId="77777777" w:rsidR="00DB7F3B" w:rsidRPr="00DB7F3B" w:rsidRDefault="00DB7F3B" w:rsidP="68AAF936">
      <w:pPr>
        <w:spacing w:after="160" w:line="278" w:lineRule="auto"/>
        <w:ind w:left="720"/>
        <w:contextualSpacing/>
        <w:rPr>
          <w:rFonts w:eastAsia="Arial" w:cs="Arial"/>
          <w:b/>
          <w:bCs/>
          <w:kern w:val="2"/>
          <w14:ligatures w14:val="standardContextual"/>
        </w:rPr>
      </w:pPr>
    </w:p>
    <w:p w14:paraId="4223677A" w14:textId="77777777" w:rsidR="00DB7F3B" w:rsidRPr="00DB7F3B" w:rsidRDefault="7E4B1A9A" w:rsidP="68AAF936">
      <w:pPr>
        <w:spacing w:after="160" w:line="278" w:lineRule="auto"/>
        <w:ind w:left="720"/>
        <w:contextualSpacing/>
        <w:rPr>
          <w:rFonts w:eastAsia="Arial" w:cs="Arial"/>
          <w:kern w:val="2"/>
          <w14:ligatures w14:val="standardContextual"/>
        </w:rPr>
      </w:pPr>
      <w:r w:rsidRPr="68AAF936">
        <w:rPr>
          <w:rFonts w:eastAsia="Arial" w:cs="Arial"/>
          <w:b/>
          <w:bCs/>
          <w:kern w:val="2"/>
          <w14:ligatures w14:val="standardContextual"/>
        </w:rPr>
        <w:t>Seek advice from DPO</w:t>
      </w:r>
      <w:r w:rsidR="00DB7F3B">
        <w:br/>
      </w:r>
      <w:r w:rsidRPr="68AAF936">
        <w:rPr>
          <w:rFonts w:eastAsia="Arial" w:cs="Arial"/>
          <w:kern w:val="2"/>
          <w14:ligatures w14:val="standardContextual"/>
        </w:rPr>
        <w:t>Please seek advice from your local DPO for data protection advice relating to the processing of data for learning purposes and legal advice where necessary.</w:t>
      </w:r>
    </w:p>
    <w:p w14:paraId="56952249" w14:textId="29B14D90" w:rsidR="68AAF936" w:rsidRDefault="68AAF936" w:rsidP="68AAF936">
      <w:pPr>
        <w:spacing w:after="160" w:line="278" w:lineRule="auto"/>
        <w:ind w:left="720"/>
        <w:contextualSpacing/>
        <w:rPr>
          <w:rFonts w:eastAsia="Arial" w:cs="Arial"/>
        </w:rPr>
      </w:pPr>
    </w:p>
    <w:p w14:paraId="63459A32" w14:textId="77777777" w:rsidR="00DB7F3B" w:rsidRPr="00DB7F3B" w:rsidRDefault="7E4B1A9A" w:rsidP="68AAF936">
      <w:pPr>
        <w:spacing w:after="160" w:line="278" w:lineRule="auto"/>
        <w:rPr>
          <w:rFonts w:eastAsia="Arial" w:cs="Arial"/>
          <w:kern w:val="2"/>
          <w:sz w:val="22"/>
          <w:szCs w:val="22"/>
          <w14:ligatures w14:val="standardContextual"/>
        </w:rPr>
      </w:pPr>
      <w:r w:rsidRPr="68AAF936">
        <w:rPr>
          <w:rFonts w:eastAsia="Arial" w:cs="Arial"/>
          <w:kern w:val="2"/>
          <w14:ligatures w14:val="standardContextual"/>
        </w:rPr>
        <w:t xml:space="preserve">If data is shared with NFCC through </w:t>
      </w:r>
      <w:hyperlink r:id="rId42" w:history="1">
        <w:r w:rsidRPr="68AAF936">
          <w:rPr>
            <w:rFonts w:eastAsia="Arial" w:cs="Arial"/>
            <w:color w:val="467886"/>
            <w:kern w:val="2"/>
            <w:u w:val="single"/>
            <w14:ligatures w14:val="standardContextual"/>
          </w:rPr>
          <w:t>Organisational Learning submissions</w:t>
        </w:r>
      </w:hyperlink>
      <w:r w:rsidRPr="68AAF936">
        <w:rPr>
          <w:rFonts w:eastAsia="Arial" w:cs="Arial"/>
          <w:kern w:val="2"/>
          <w14:ligatures w14:val="standardContextual"/>
        </w:rPr>
        <w:t xml:space="preserve">, NFCC can only use the information shared to inform sector-wide improvements. Only the organisation who submits the learning and authorised NFCC employees are allowed to view the submission. If needed, a service should contact </w:t>
      </w:r>
      <w:r w:rsidRPr="68AAF936">
        <w:rPr>
          <w:rFonts w:eastAsia="Arial" w:cs="Arial"/>
          <w:color w:val="000000"/>
          <w:kern w:val="2"/>
          <w14:ligatures w14:val="standardContextual"/>
        </w:rPr>
        <w:t>OrganisationalLearning@nfcc.org.uk</w:t>
      </w:r>
      <w:r w:rsidRPr="68AAF936">
        <w:rPr>
          <w:rFonts w:eastAsia="Arial" w:cs="Arial"/>
          <w:kern w:val="2"/>
          <w14:ligatures w14:val="standardContextual"/>
        </w:rPr>
        <w:t xml:space="preserve"> for advice on misconduct learning that is submitted through the portal.</w:t>
      </w:r>
    </w:p>
    <w:p w14:paraId="00395911"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Any queries on data protection in relation to NFCC Organisational Learning should be shared with the NFCC Organisational Learning team (</w:t>
      </w:r>
      <w:r w:rsidRPr="68AAF936">
        <w:rPr>
          <w:rFonts w:eastAsia="Arial" w:cs="Arial"/>
          <w:color w:val="000000"/>
          <w:kern w:val="2"/>
          <w14:ligatures w14:val="standardContextual"/>
        </w:rPr>
        <w:t>OrganisationalLearning@nfcc.org.uk)</w:t>
      </w:r>
      <w:r w:rsidRPr="68AAF936">
        <w:rPr>
          <w:rFonts w:eastAsia="Arial" w:cs="Arial"/>
          <w:kern w:val="2"/>
          <w14:ligatures w14:val="standardContextual"/>
        </w:rPr>
        <w:t xml:space="preserve">. </w:t>
      </w:r>
    </w:p>
    <w:p w14:paraId="331AA00B"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Services should email </w:t>
      </w:r>
      <w:r w:rsidRPr="68AAF936">
        <w:rPr>
          <w:rFonts w:eastAsia="Arial" w:cs="Arial"/>
          <w:color w:val="000000"/>
          <w:kern w:val="2"/>
          <w14:ligatures w14:val="standardContextual"/>
        </w:rPr>
        <w:t>OrganisationalLearning@nfcc.org.uk</w:t>
      </w:r>
      <w:r w:rsidRPr="68AAF936">
        <w:rPr>
          <w:rFonts w:eastAsia="Arial" w:cs="Arial"/>
          <w:kern w:val="2"/>
          <w14:ligatures w14:val="standardContextual"/>
        </w:rPr>
        <w:t xml:space="preserve"> if they do not know who their service’s point of contact for Organisational Learning is, or if they require any further information. </w:t>
      </w:r>
    </w:p>
    <w:p w14:paraId="1F7A88B0" w14:textId="77777777" w:rsidR="00DB7F3B" w:rsidRPr="00DB7F3B" w:rsidRDefault="00DB7F3B" w:rsidP="68AAF936">
      <w:pPr>
        <w:spacing w:after="160" w:line="278" w:lineRule="auto"/>
        <w:rPr>
          <w:rFonts w:eastAsia="Arial" w:cs="Arial"/>
          <w:kern w:val="2"/>
          <w14:ligatures w14:val="standardContextual"/>
        </w:rPr>
      </w:pPr>
    </w:p>
    <w:p w14:paraId="3ADA7CC3" w14:textId="77777777" w:rsidR="00DB7F3B" w:rsidRPr="00DB7F3B" w:rsidRDefault="7E4B1A9A" w:rsidP="68AAF936">
      <w:pPr>
        <w:pStyle w:val="Heading3"/>
        <w:rPr>
          <w:rFonts w:eastAsia="Arial" w:cs="Arial"/>
          <w:sz w:val="28"/>
          <w:szCs w:val="28"/>
        </w:rPr>
      </w:pPr>
      <w:r w:rsidRPr="68AAF936">
        <w:rPr>
          <w:rFonts w:eastAsia="Arial" w:cs="Arial"/>
          <w:sz w:val="28"/>
          <w:szCs w:val="28"/>
        </w:rPr>
        <w:t>6.3 Accountabilities, assurance, and implementation</w:t>
      </w:r>
    </w:p>
    <w:p w14:paraId="6AF120D9"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How and if learning from misconduct cases is shared should be a decision that is documented, risk-assessed, and made by an employee of appropriate seniority. This employee is likely to be a service’s lead for professional standards and conduct. </w:t>
      </w:r>
    </w:p>
    <w:p w14:paraId="3F862722"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The decision to share any learning from misconduct cases needs to be documented and auditable in a formal action log. An action log should evidence the following: </w:t>
      </w:r>
    </w:p>
    <w:p w14:paraId="18981866" w14:textId="77777777" w:rsidR="00DB7F3B" w:rsidRPr="00DB7F3B" w:rsidRDefault="7E4B1A9A" w:rsidP="68AAF936">
      <w:pPr>
        <w:numPr>
          <w:ilvl w:val="0"/>
          <w:numId w:val="6"/>
        </w:numPr>
        <w:spacing w:before="100" w:beforeAutospacing="1" w:after="100" w:afterAutospacing="1" w:line="300" w:lineRule="atLeast"/>
        <w:contextualSpacing/>
        <w:rPr>
          <w:rFonts w:eastAsia="Arial" w:cs="Arial"/>
          <w:lang w:eastAsia="en-GB"/>
        </w:rPr>
      </w:pPr>
      <w:r w:rsidRPr="68AAF936">
        <w:rPr>
          <w:rFonts w:eastAsia="Arial" w:cs="Arial"/>
          <w:lang w:eastAsia="en-GB"/>
        </w:rPr>
        <w:t>Who authorised sharing (individuals, relevant boards, groups, committees)</w:t>
      </w:r>
    </w:p>
    <w:p w14:paraId="1DECBAC0" w14:textId="77777777" w:rsidR="00DB7F3B" w:rsidRPr="00DB7F3B" w:rsidRDefault="7E4B1A9A" w:rsidP="68AAF936">
      <w:pPr>
        <w:numPr>
          <w:ilvl w:val="0"/>
          <w:numId w:val="6"/>
        </w:numPr>
        <w:spacing w:before="100" w:beforeAutospacing="1" w:after="100" w:afterAutospacing="1" w:line="300" w:lineRule="atLeast"/>
        <w:contextualSpacing/>
        <w:rPr>
          <w:rFonts w:eastAsia="Arial" w:cs="Arial"/>
          <w:lang w:eastAsia="en-GB"/>
        </w:rPr>
      </w:pPr>
      <w:r w:rsidRPr="68AAF936">
        <w:rPr>
          <w:rFonts w:eastAsia="Arial" w:cs="Arial"/>
          <w:lang w:eastAsia="en-GB"/>
        </w:rPr>
        <w:t>What risk assessment was carried out</w:t>
      </w:r>
    </w:p>
    <w:p w14:paraId="1DC52C59" w14:textId="77777777" w:rsidR="00DB7F3B" w:rsidRPr="00DB7F3B" w:rsidRDefault="7E4B1A9A" w:rsidP="68AAF936">
      <w:pPr>
        <w:numPr>
          <w:ilvl w:val="0"/>
          <w:numId w:val="6"/>
        </w:numPr>
        <w:spacing w:before="100" w:beforeAutospacing="1" w:after="100" w:afterAutospacing="1" w:line="300" w:lineRule="atLeast"/>
        <w:contextualSpacing/>
        <w:rPr>
          <w:rFonts w:eastAsia="Arial" w:cs="Arial"/>
          <w:lang w:eastAsia="en-GB"/>
        </w:rPr>
      </w:pPr>
      <w:r w:rsidRPr="68AAF936">
        <w:rPr>
          <w:rFonts w:eastAsia="Arial" w:cs="Arial"/>
          <w:lang w:eastAsia="en-GB"/>
        </w:rPr>
        <w:t xml:space="preserve">Version control history, including the changes made to anonymise </w:t>
      </w:r>
      <w:r w:rsidRPr="68AAF936">
        <w:rPr>
          <w:rFonts w:eastAsia="Arial" w:cs="Arial"/>
          <w:kern w:val="2"/>
          <w:lang w:eastAsia="en-GB"/>
          <w14:ligatures w14:val="standardContextual"/>
        </w:rPr>
        <w:t>information</w:t>
      </w:r>
    </w:p>
    <w:p w14:paraId="30430895" w14:textId="77777777" w:rsidR="00DB7F3B" w:rsidRPr="00DB7F3B" w:rsidRDefault="7E4B1A9A" w:rsidP="68AAF936">
      <w:pPr>
        <w:numPr>
          <w:ilvl w:val="0"/>
          <w:numId w:val="6"/>
        </w:numPr>
        <w:spacing w:before="100" w:beforeAutospacing="1" w:after="100" w:afterAutospacing="1" w:line="300" w:lineRule="atLeast"/>
        <w:contextualSpacing/>
        <w:rPr>
          <w:rFonts w:eastAsia="Arial" w:cs="Arial"/>
          <w:lang w:eastAsia="en-GB"/>
        </w:rPr>
      </w:pPr>
      <w:r w:rsidRPr="68AAF936">
        <w:rPr>
          <w:rFonts w:eastAsia="Arial" w:cs="Arial"/>
          <w:lang w:eastAsia="en-GB"/>
        </w:rPr>
        <w:t>Audience and channels of where the learning is shared</w:t>
      </w:r>
    </w:p>
    <w:p w14:paraId="16AD0317" w14:textId="77777777" w:rsidR="00DB7F3B" w:rsidRPr="00DB7F3B" w:rsidRDefault="7E4B1A9A" w:rsidP="68AAF936">
      <w:pPr>
        <w:numPr>
          <w:ilvl w:val="0"/>
          <w:numId w:val="6"/>
        </w:numPr>
        <w:spacing w:before="100" w:beforeAutospacing="1" w:after="100" w:afterAutospacing="1" w:line="300" w:lineRule="atLeast"/>
        <w:contextualSpacing/>
        <w:rPr>
          <w:rFonts w:eastAsia="Arial" w:cs="Arial"/>
          <w:lang w:eastAsia="en-GB"/>
        </w:rPr>
      </w:pPr>
      <w:r w:rsidRPr="68AAF936">
        <w:rPr>
          <w:rFonts w:eastAsia="Arial" w:cs="Arial"/>
          <w:lang w:eastAsia="en-GB"/>
        </w:rPr>
        <w:t>D</w:t>
      </w:r>
      <w:r w:rsidRPr="68AAF936" w:rsidDel="00BF38EA">
        <w:rPr>
          <w:rFonts w:eastAsia="Arial" w:cs="Arial"/>
          <w:lang w:eastAsia="en-GB"/>
        </w:rPr>
        <w:t xml:space="preserve">ate </w:t>
      </w:r>
      <w:r w:rsidRPr="68AAF936">
        <w:rPr>
          <w:rFonts w:eastAsia="Arial" w:cs="Arial"/>
          <w:kern w:val="2"/>
          <w:lang w:eastAsia="en-GB"/>
          <w14:ligatures w14:val="standardContextual"/>
        </w:rPr>
        <w:t>the learning is shared</w:t>
      </w:r>
    </w:p>
    <w:p w14:paraId="5EAB74F1" w14:textId="77777777" w:rsidR="00DB7F3B" w:rsidRPr="00DB7F3B" w:rsidRDefault="00DB7F3B" w:rsidP="68AAF936">
      <w:pPr>
        <w:spacing w:before="100" w:beforeAutospacing="1" w:after="100" w:afterAutospacing="1" w:line="300" w:lineRule="atLeast"/>
        <w:ind w:left="720"/>
        <w:contextualSpacing/>
        <w:rPr>
          <w:rFonts w:eastAsia="Arial" w:cs="Arial"/>
          <w:lang w:eastAsia="en-GB"/>
        </w:rPr>
      </w:pPr>
    </w:p>
    <w:p w14:paraId="065C3D5C"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Creating a formal action log can support the implementation of misconduct learning and provide assurance to track the processes undertaken to ensure that the sharing of the learning output is safe.</w:t>
      </w:r>
    </w:p>
    <w:p w14:paraId="1BAAA826"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Creating and keeping a formal action log for misconduct learning could amount to data processing and needs to be compliant with data protection law. Where high-risk cases are involved, consider seeking advice and approval from your data protection officer before including any learning from high-risk cases in logs or documentation. Any identified learning from misconduct should have clear, defined, and practical actions. They should be clearly logged, owned, and have an appropriate forum or governance structure in place to be tracked and reported into. A service could create a regular meeting for their professional standards team to review the service’s misconduct cases with the specific purpose of identifying learning. </w:t>
      </w:r>
    </w:p>
    <w:p w14:paraId="7D017658"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Clearly logging and tracking learning from misconduct cases and their associated actions ensures that learning is not just noted but actively implemented and embedded. Learning may result in new or updated training, processes, policies, and practices.</w:t>
      </w:r>
    </w:p>
    <w:p w14:paraId="3C26052E"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Once learning from a misconduct case has been identified, shared where appropriate, and logged, actions from that learning should then be implemented and reviewed. A service may review identified learnings against current casework, policies, procedures, and case management practices. A service may also find it necessary to follow up with involved parties where appropriate to share key learning and the actions that will be taken as a result.</w:t>
      </w:r>
    </w:p>
    <w:p w14:paraId="19A18F41" w14:textId="77777777" w:rsidR="00DB7F3B" w:rsidRPr="00DB7F3B" w:rsidRDefault="00DB7F3B" w:rsidP="68AAF936">
      <w:pPr>
        <w:spacing w:after="160" w:line="278" w:lineRule="auto"/>
        <w:rPr>
          <w:rFonts w:eastAsia="Arial" w:cs="Arial"/>
          <w:kern w:val="2"/>
          <w14:ligatures w14:val="standardContextual"/>
        </w:rPr>
      </w:pPr>
    </w:p>
    <w:p w14:paraId="66016669" w14:textId="77777777" w:rsidR="00DB7F3B" w:rsidRPr="00DB7F3B" w:rsidRDefault="7E4B1A9A" w:rsidP="68AAF936">
      <w:pPr>
        <w:pStyle w:val="Heading3"/>
        <w:rPr>
          <w:rFonts w:eastAsia="Arial" w:cs="Arial"/>
          <w:sz w:val="28"/>
          <w:szCs w:val="28"/>
        </w:rPr>
      </w:pPr>
      <w:r w:rsidRPr="68AAF936">
        <w:rPr>
          <w:rFonts w:eastAsia="Arial" w:cs="Arial"/>
          <w:sz w:val="28"/>
          <w:szCs w:val="28"/>
        </w:rPr>
        <w:t xml:space="preserve">6.4 Cases that are live, or involve criminal or safeguarding investigations </w:t>
      </w:r>
    </w:p>
    <w:p w14:paraId="5EC2B404"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In addition to full compliance with data protection law, the serious nature of misconduct cases may require additional safeguards to be undertaken when identifying and sharing learning. </w:t>
      </w:r>
    </w:p>
    <w:p w14:paraId="6E80F08A"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Please note that this guidance advises on the identification and sharing of learning. Confidential case details which could influence a service’s case outcome or legal position should never be shared as part of a learning output.</w:t>
      </w:r>
    </w:p>
    <w:p w14:paraId="6398DE55"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If allegations of serious misconduct require external investigation, such as police or safeguarding investigations, the sensitivity and confidentiality of these processes may prevent the sharing of learning internally or externally. The police,</w:t>
      </w:r>
      <w:r w:rsidRPr="68AAF936" w:rsidDel="00640F35">
        <w:rPr>
          <w:rFonts w:eastAsia="Arial" w:cs="Arial"/>
          <w:kern w:val="2"/>
          <w14:ligatures w14:val="standardContextual"/>
        </w:rPr>
        <w:t xml:space="preserve"> </w:t>
      </w:r>
      <w:r w:rsidRPr="68AAF936">
        <w:rPr>
          <w:rFonts w:eastAsia="Arial" w:cs="Arial"/>
          <w:kern w:val="2"/>
          <w14:ligatures w14:val="standardContextual"/>
        </w:rPr>
        <w:t>Local Authority Designated Officer (LADO), or both should be consulted before any learning is shared from these cases. This ensures that sharing the learning will not prejudice investigations or proceedings.</w:t>
      </w:r>
    </w:p>
    <w:p w14:paraId="7A965AFC"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Criminal cases are more likely to be publicly reported through the press or in court lists, which makes ‘identification by jigsaw’ easier. Identification by jigsaw is where identification is possible through information found from multiple sources. The information shared by one source, such as a service, may not be sufficient enough to identify a case. However, in combination with other sources such as the news or local gossip, the case could be identified. If the details of a case are public, for example through a reported conviction, services should assume that the case is identifiable. Therefore, services should consider alternative means of sharing the learning.</w:t>
      </w:r>
    </w:p>
    <w:p w14:paraId="752D7C44" w14:textId="77777777" w:rsidR="00DB7F3B" w:rsidRPr="00DB7F3B" w:rsidRDefault="00DB7F3B" w:rsidP="68AAF936">
      <w:pPr>
        <w:spacing w:after="160" w:line="278" w:lineRule="auto"/>
        <w:rPr>
          <w:rFonts w:eastAsia="Arial" w:cs="Arial"/>
          <w:kern w:val="2"/>
          <w14:ligatures w14:val="standardContextual"/>
        </w:rPr>
      </w:pPr>
    </w:p>
    <w:p w14:paraId="6D052D51"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Example</w:t>
      </w:r>
      <w:r w:rsidRPr="68AAF936">
        <w:rPr>
          <w:rFonts w:eastAsia="Arial" w:cs="Arial"/>
          <w:kern w:val="2"/>
          <w14:ligatures w14:val="standardContextual"/>
        </w:rPr>
        <w:t xml:space="preserve">: an HR director refers a firefighter to a LADO following concerns about conduct during a school visit. In response, the police begin an investigation. The referral is made immediately and is not delayed by any process to identify, analyse, or share learning. During the investigation, the fire and rescue service may only share urgent safety measures with the managers who need to implement them, without referring to the allegation. For example, this could be a temporary change to the arrangements for employees attending school visits. Once proceedings have concluded and the police and LADO have confirmed there is no objection, the fire and rescue service may share learning but not refer to the facts of the case. This could be “our safeguarding training did not clearly explain the requirements for one-to-one contact with children.” </w:t>
      </w:r>
    </w:p>
    <w:p w14:paraId="7AA87CED" w14:textId="77777777" w:rsidR="00DB7F3B" w:rsidRPr="00DB7F3B" w:rsidRDefault="00DB7F3B" w:rsidP="68AAF936">
      <w:pPr>
        <w:spacing w:after="160" w:line="278" w:lineRule="auto"/>
        <w:rPr>
          <w:rFonts w:eastAsia="Arial" w:cs="Arial"/>
          <w:kern w:val="2"/>
          <w14:ligatures w14:val="standardContextual"/>
        </w:rPr>
      </w:pPr>
    </w:p>
    <w:p w14:paraId="2CCD7DB8" w14:textId="77777777" w:rsidR="00DB7F3B" w:rsidRPr="00DB7F3B" w:rsidRDefault="7E4B1A9A" w:rsidP="68AAF936">
      <w:pPr>
        <w:pStyle w:val="Heading3"/>
        <w:rPr>
          <w:rFonts w:eastAsia="Arial" w:cs="Arial"/>
          <w:sz w:val="28"/>
          <w:szCs w:val="28"/>
        </w:rPr>
      </w:pPr>
      <w:r w:rsidRPr="68AAF936">
        <w:rPr>
          <w:rFonts w:eastAsia="Arial" w:cs="Arial"/>
          <w:sz w:val="28"/>
          <w:szCs w:val="28"/>
        </w:rPr>
        <w:t>6.4.1. Sharing urgent, critical information during a live case</w:t>
      </w:r>
    </w:p>
    <w:p w14:paraId="625CCBCA"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A service should consider the following when sharing urgent, critical information during a live case: </w:t>
      </w:r>
    </w:p>
    <w:p w14:paraId="1D02FD52" w14:textId="77777777" w:rsidR="00DB7F3B" w:rsidRPr="00DB7F3B" w:rsidRDefault="00DB7F3B" w:rsidP="68AAF936">
      <w:pPr>
        <w:spacing w:after="160" w:line="278" w:lineRule="auto"/>
        <w:rPr>
          <w:rFonts w:eastAsia="Arial" w:cs="Arial"/>
          <w:b/>
          <w:bCs/>
          <w:kern w:val="2"/>
          <w14:ligatures w14:val="standardContextual"/>
        </w:rPr>
      </w:pPr>
    </w:p>
    <w:p w14:paraId="16BCECB6"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 xml:space="preserve">When and with who initial critical learning should be shared </w:t>
      </w:r>
    </w:p>
    <w:p w14:paraId="68D1C540"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When an investigation begins, it may be necessary to share initial critical learning strictly with relevant parties. This should only be shared where the learning is critical and urgent. The nature of the learning and the parties it would be shared with needs to be considered, to protect the confidentiality of the investigation. This means that the shared learning should not introduce bias or make presumptions about the allegations in a case. </w:t>
      </w:r>
    </w:p>
    <w:p w14:paraId="52891EDC"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For example, learning at this stage may identify immediate safety or wellbeing measures to prevent harm. This learning would be shared only with parties such as relevant leaders who are strictly needed to support the implementation of the measures. Wherever possible, there should be no reference to the alleged misconduct incident to protect the confidentiality and wellbeing of those involved. The learning should be shared on a necessity basis in terms of minimising the information that is shared and who it is shared with.</w:t>
      </w:r>
    </w:p>
    <w:p w14:paraId="7171CC5D" w14:textId="77777777" w:rsidR="00DB7F3B" w:rsidRPr="00DB7F3B" w:rsidRDefault="00DB7F3B" w:rsidP="68AAF936">
      <w:pPr>
        <w:spacing w:after="160" w:line="278" w:lineRule="auto"/>
        <w:rPr>
          <w:rFonts w:eastAsia="Arial" w:cs="Arial"/>
          <w:b/>
          <w:bCs/>
          <w:kern w:val="2"/>
          <w14:ligatures w14:val="standardContextual"/>
        </w:rPr>
      </w:pPr>
    </w:p>
    <w:p w14:paraId="35BA01F3"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Prioritising a fair process during a live case</w:t>
      </w:r>
    </w:p>
    <w:p w14:paraId="3BE98BFD"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A fair process should be protected and prioritised while any internal or external investigation into alleged misconduct or resulting disciplinary processes are open. It is</w:t>
      </w:r>
      <w:r w:rsidRPr="68AAF936" w:rsidDel="008B0A99">
        <w:rPr>
          <w:rFonts w:eastAsia="Arial" w:cs="Arial"/>
          <w:kern w:val="2"/>
          <w14:ligatures w14:val="standardContextual"/>
        </w:rPr>
        <w:t xml:space="preserve"> </w:t>
      </w:r>
      <w:r w:rsidRPr="68AAF936">
        <w:rPr>
          <w:rFonts w:eastAsia="Arial" w:cs="Arial"/>
          <w:kern w:val="2"/>
          <w14:ligatures w14:val="standardContextual"/>
        </w:rPr>
        <w:t xml:space="preserve">important that misconduct investigations or case outcomes are not compromised through any internal learning activities or processes, or through sharing learning externally with NFCC or other organisations. </w:t>
      </w:r>
    </w:p>
    <w:p w14:paraId="09AC320B"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Wherever possible, any learning from misconduct cases should be shared after investigations and disciplinary processes have concluded. </w:t>
      </w:r>
    </w:p>
    <w:p w14:paraId="2E088E43" w14:textId="77777777" w:rsidR="00DB7F3B" w:rsidRPr="00DB7F3B" w:rsidRDefault="00DB7F3B" w:rsidP="68AAF936">
      <w:pPr>
        <w:spacing w:after="160" w:line="278" w:lineRule="auto"/>
        <w:ind w:left="720"/>
        <w:contextualSpacing/>
        <w:rPr>
          <w:rFonts w:eastAsia="Arial" w:cs="Arial"/>
          <w:kern w:val="2"/>
          <w14:ligatures w14:val="standardContextual"/>
        </w:rPr>
      </w:pPr>
    </w:p>
    <w:p w14:paraId="26FD1291" w14:textId="1B190123" w:rsidR="68AAF936" w:rsidRDefault="68AAF936" w:rsidP="68AAF936">
      <w:pPr>
        <w:spacing w:after="160" w:line="278" w:lineRule="auto"/>
        <w:ind w:left="720"/>
        <w:contextualSpacing/>
        <w:rPr>
          <w:rFonts w:eastAsia="Arial" w:cs="Arial"/>
        </w:rPr>
      </w:pPr>
    </w:p>
    <w:p w14:paraId="19467802" w14:textId="77777777" w:rsidR="00DB7F3B" w:rsidRPr="00DB7F3B" w:rsidRDefault="7E4B1A9A" w:rsidP="68AAF936">
      <w:pPr>
        <w:pStyle w:val="Heading3"/>
        <w:rPr>
          <w:rFonts w:eastAsia="Arial" w:cs="Arial"/>
        </w:rPr>
      </w:pPr>
      <w:r w:rsidRPr="68AAF936">
        <w:rPr>
          <w:rFonts w:eastAsia="Arial" w:cs="Arial"/>
        </w:rPr>
        <w:t xml:space="preserve">6.5 Wellbeing considerations </w:t>
      </w:r>
    </w:p>
    <w:p w14:paraId="3F76AC22"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Learning processes around misconduct cases may also carry wellbeing risks for those involved in an incident, its management, or the teams involved in reviewing misconduct cases. The subject matter of the alleged misconduct may be highly emotive. Reflecting critically on surrounding processes may trigger feelings of anxiety, concern, or blame for those involved. Support channels should be clearly established and communicated with all parties involved, prior to the start of learning reviews.</w:t>
      </w:r>
    </w:p>
    <w:p w14:paraId="46B67229"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If a service has a case debrief process or protocol, a service may consider building a welfare check-in into that process or protocol. </w:t>
      </w:r>
    </w:p>
    <w:p w14:paraId="6046789E"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Reviews of misconduct learning that incorporate the core components of a just culture, psychological safety, and the values and behaviours reflected in the </w:t>
      </w:r>
      <w:hyperlink r:id="rId43" w:history="1">
        <w:r w:rsidRPr="68AAF936">
          <w:rPr>
            <w:rFonts w:eastAsia="Arial" w:cs="Arial"/>
            <w:color w:val="467886"/>
            <w:kern w:val="2"/>
            <w:u w:val="single"/>
            <w14:ligatures w14:val="standardContextual"/>
          </w:rPr>
          <w:t>Core Code of Ethics</w:t>
        </w:r>
      </w:hyperlink>
      <w:r w:rsidRPr="68AAF936">
        <w:rPr>
          <w:rFonts w:eastAsia="Arial" w:cs="Arial"/>
          <w:kern w:val="2"/>
          <w14:ligatures w14:val="standardContextual"/>
        </w:rPr>
        <w:t xml:space="preserve"> can create a more supportive and safer learning environment. For more information on these core components, refer to the Organisational Learning section of this guidance. </w:t>
      </w:r>
    </w:p>
    <w:p w14:paraId="0A8E2A8E" w14:textId="3D2EFB55"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If any concerns for the wellbeing of individuals are raised through the process of </w:t>
      </w:r>
      <w:r w:rsidRPr="68AAF936">
        <w:rPr>
          <w:rFonts w:eastAsia="Arial" w:cs="Arial"/>
        </w:rPr>
        <w:t xml:space="preserve">identifying learning from misconduct, then these concerns should be followed </w:t>
      </w:r>
      <w:r w:rsidR="3E431409" w:rsidRPr="68AAF936">
        <w:rPr>
          <w:rFonts w:eastAsia="Arial" w:cs="Arial"/>
          <w:kern w:val="2"/>
          <w14:ligatures w14:val="standardContextual"/>
        </w:rPr>
        <w:t>up,</w:t>
      </w:r>
      <w:r w:rsidRPr="68AAF936">
        <w:rPr>
          <w:rFonts w:eastAsia="Arial" w:cs="Arial"/>
        </w:rPr>
        <w:t xml:space="preserve"> and wellbeing support should be signposted.</w:t>
      </w:r>
    </w:p>
    <w:p w14:paraId="0B03454F"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A core part of the learning review process should be evaluating whether sharing misconduct learning risks causing harm to individuals. The intended audience should not be able to identify any individuals in the misconduct learning, and all identifiable and sensitive information should be removed before sharing.</w:t>
      </w:r>
    </w:p>
    <w:p w14:paraId="17869243" w14:textId="77777777" w:rsidR="00DB7F3B" w:rsidRPr="00DB7F3B" w:rsidRDefault="00DB7F3B" w:rsidP="68AAF936">
      <w:pPr>
        <w:spacing w:after="160" w:line="278" w:lineRule="auto"/>
        <w:rPr>
          <w:rFonts w:eastAsia="Arial" w:cs="Arial"/>
          <w:b/>
          <w:bCs/>
          <w:kern w:val="2"/>
          <w14:ligatures w14:val="standardContextual"/>
        </w:rPr>
      </w:pPr>
    </w:p>
    <w:p w14:paraId="20A5CE69"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Example</w:t>
      </w:r>
      <w:r w:rsidRPr="68AAF936">
        <w:rPr>
          <w:rFonts w:eastAsia="Arial" w:cs="Arial"/>
          <w:kern w:val="2"/>
          <w14:ligatures w14:val="standardContextual"/>
        </w:rPr>
        <w:t>:</w:t>
      </w:r>
      <w:r w:rsidRPr="68AAF936">
        <w:rPr>
          <w:rFonts w:eastAsia="Arial" w:cs="Arial"/>
          <w:b/>
          <w:bCs/>
          <w:kern w:val="2"/>
          <w14:ligatures w14:val="standardContextual"/>
        </w:rPr>
        <w:t xml:space="preserve"> </w:t>
      </w:r>
      <w:r w:rsidRPr="68AAF936">
        <w:rPr>
          <w:rFonts w:eastAsia="Arial" w:cs="Arial"/>
          <w:kern w:val="2"/>
          <w14:ligatures w14:val="standardContextual"/>
        </w:rPr>
        <w:t xml:space="preserve"> a case that involves an employee’s mental health and absence identifies key learning for a service about their occupational health referral process. If colleagues in the service could identify the employee, it is likely to cause significant distress to those involved. Therefore, references to the employee’s health or absence should not be included in any learning that is shared. A learning output stating that ‘managers need clearer guidance on referring employees to occupational health’ carries little risk of harm and may be shared.</w:t>
      </w:r>
    </w:p>
    <w:p w14:paraId="13EC6338" w14:textId="77777777" w:rsidR="00DB7F3B" w:rsidRPr="00DB7F3B" w:rsidRDefault="00DB7F3B" w:rsidP="68AAF936">
      <w:pPr>
        <w:spacing w:after="160" w:line="278" w:lineRule="auto"/>
        <w:rPr>
          <w:rFonts w:eastAsia="Arial" w:cs="Arial"/>
          <w:b/>
          <w:bCs/>
          <w:kern w:val="2"/>
          <w:sz w:val="32"/>
          <w:szCs w:val="32"/>
          <w14:ligatures w14:val="standardContextual"/>
        </w:rPr>
      </w:pPr>
    </w:p>
    <w:p w14:paraId="6EA72359" w14:textId="77777777" w:rsidR="00DB7F3B" w:rsidRPr="00DB7F3B" w:rsidRDefault="7E4B1A9A" w:rsidP="68AAF936">
      <w:pPr>
        <w:pStyle w:val="Heading2"/>
        <w:rPr>
          <w:rFonts w:eastAsia="Arial"/>
        </w:rPr>
      </w:pPr>
      <w:r w:rsidRPr="68AAF936">
        <w:rPr>
          <w:rFonts w:eastAsia="Arial"/>
        </w:rPr>
        <w:t xml:space="preserve">7. Capturing and identifying learning </w:t>
      </w:r>
    </w:p>
    <w:p w14:paraId="1D03FC87" w14:textId="77777777" w:rsidR="00DB7F3B" w:rsidRPr="00DB7F3B" w:rsidRDefault="00DB7F3B" w:rsidP="68AAF936">
      <w:pPr>
        <w:spacing w:after="160" w:line="278" w:lineRule="auto"/>
        <w:rPr>
          <w:rFonts w:eastAsia="Arial" w:cs="Arial"/>
          <w:b/>
          <w:bCs/>
          <w:kern w:val="2"/>
          <w14:ligatures w14:val="standardContextual"/>
        </w:rPr>
      </w:pPr>
    </w:p>
    <w:p w14:paraId="3CFB8FCD" w14:textId="77777777" w:rsidR="00DB7F3B" w:rsidRPr="00DB7F3B" w:rsidRDefault="7E4B1A9A" w:rsidP="68AAF936">
      <w:pPr>
        <w:pStyle w:val="Heading3"/>
        <w:rPr>
          <w:rFonts w:eastAsia="Arial" w:cs="Arial"/>
          <w:sz w:val="28"/>
          <w:szCs w:val="28"/>
        </w:rPr>
      </w:pPr>
      <w:r w:rsidRPr="68AAF936">
        <w:rPr>
          <w:rFonts w:eastAsia="Arial" w:cs="Arial"/>
          <w:sz w:val="28"/>
          <w:szCs w:val="28"/>
        </w:rPr>
        <w:t>7.1 Continuous learning approach</w:t>
      </w:r>
    </w:p>
    <w:p w14:paraId="19C86D43"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Continuous learning refers to the process and habit of regularly seeking and gaining new knowledge and skills.</w:t>
      </w:r>
    </w:p>
    <w:p w14:paraId="39146940"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After an investigation and any resulting disciplinary processes have closed, reflecting on a case as a whole is often the most logical. While sharing learning may only be appropriate after the case closes, a continuous learning approach can support effective practice for professional standards practitioners prior to and during investigations. </w:t>
      </w:r>
    </w:p>
    <w:p w14:paraId="5F1681C8"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The review of existing and emerging learning can be done prior to the start of an investigation, at key review points during an investigation, and after an investigation ends.  </w:t>
      </w:r>
    </w:p>
    <w:p w14:paraId="7D7DC512" w14:textId="77777777" w:rsidR="00DB7F3B" w:rsidRPr="00DB7F3B" w:rsidRDefault="00DB7F3B" w:rsidP="68AAF936">
      <w:pPr>
        <w:spacing w:after="160" w:line="278" w:lineRule="auto"/>
        <w:rPr>
          <w:rFonts w:eastAsia="Arial" w:cs="Arial"/>
          <w:b/>
          <w:bCs/>
          <w:kern w:val="2"/>
          <w:sz w:val="28"/>
          <w:szCs w:val="28"/>
          <w14:ligatures w14:val="standardContextual"/>
        </w:rPr>
      </w:pPr>
    </w:p>
    <w:p w14:paraId="5CFE4790"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At the start of an investigation</w:t>
      </w:r>
    </w:p>
    <w:p w14:paraId="220C3B40"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kern w:val="2"/>
          <w14:ligatures w14:val="standardContextual"/>
        </w:rPr>
        <w:t>When an investigation begins, it may be useful for the colleague or colleagues carrying out the investigation to consider the following:</w:t>
      </w:r>
    </w:p>
    <w:p w14:paraId="4A49DB38" w14:textId="77777777" w:rsidR="00DB7F3B" w:rsidRPr="00DB7F3B" w:rsidRDefault="7E4B1A9A" w:rsidP="68AAF936">
      <w:pPr>
        <w:numPr>
          <w:ilvl w:val="0"/>
          <w:numId w:val="9"/>
        </w:numPr>
        <w:spacing w:after="160" w:line="278" w:lineRule="auto"/>
        <w:contextualSpacing/>
        <w:rPr>
          <w:rFonts w:eastAsia="Arial" w:cs="Arial"/>
          <w:b/>
          <w:bCs/>
          <w:kern w:val="2"/>
          <w14:ligatures w14:val="standardContextual"/>
        </w:rPr>
      </w:pPr>
      <w:r w:rsidRPr="68AAF936">
        <w:rPr>
          <w:rFonts w:eastAsia="Arial" w:cs="Arial"/>
          <w:kern w:val="2"/>
          <w14:ligatures w14:val="standardContextual"/>
        </w:rPr>
        <w:t>Has your organisation run any investigations around similar allegations previously? If so, was any learning identified from the management of this?</w:t>
      </w:r>
    </w:p>
    <w:p w14:paraId="0E6BCC70" w14:textId="77777777" w:rsidR="00DB7F3B" w:rsidRPr="00DB7F3B" w:rsidRDefault="7E4B1A9A" w:rsidP="68AAF936">
      <w:pPr>
        <w:numPr>
          <w:ilvl w:val="0"/>
          <w:numId w:val="9"/>
        </w:numPr>
        <w:spacing w:after="160" w:line="278" w:lineRule="auto"/>
        <w:contextualSpacing/>
        <w:rPr>
          <w:rFonts w:eastAsia="Arial" w:cs="Arial"/>
          <w:b/>
          <w:bCs/>
          <w:kern w:val="2"/>
          <w14:ligatures w14:val="standardContextual"/>
        </w:rPr>
      </w:pPr>
      <w:r w:rsidRPr="68AAF936">
        <w:rPr>
          <w:rFonts w:eastAsia="Arial" w:cs="Arial"/>
          <w:kern w:val="2"/>
          <w14:ligatures w14:val="standardContextual"/>
        </w:rPr>
        <w:t>Is there any case law around the key issues relevant to the nature of your investigation?</w:t>
      </w:r>
    </w:p>
    <w:p w14:paraId="588E970A" w14:textId="77777777" w:rsidR="00DB7F3B" w:rsidRPr="00DB7F3B" w:rsidRDefault="7E4B1A9A" w:rsidP="68AAF936">
      <w:pPr>
        <w:numPr>
          <w:ilvl w:val="0"/>
          <w:numId w:val="9"/>
        </w:numPr>
        <w:spacing w:after="160" w:line="278" w:lineRule="auto"/>
        <w:contextualSpacing/>
        <w:rPr>
          <w:rFonts w:eastAsia="Arial" w:cs="Arial"/>
          <w:b/>
          <w:bCs/>
          <w:kern w:val="2"/>
          <w14:ligatures w14:val="standardContextual"/>
        </w:rPr>
      </w:pPr>
      <w:r w:rsidRPr="68AAF936">
        <w:rPr>
          <w:rFonts w:eastAsia="Arial" w:cs="Arial"/>
          <w:kern w:val="2"/>
          <w14:ligatures w14:val="standardContextual"/>
        </w:rPr>
        <w:t>What are the key considerations to protect this investigation and minimise negative impacts?</w:t>
      </w:r>
    </w:p>
    <w:p w14:paraId="714536DE" w14:textId="77777777" w:rsidR="00DB7F3B" w:rsidRPr="00DB7F3B" w:rsidRDefault="7E4B1A9A" w:rsidP="68AAF936">
      <w:pPr>
        <w:numPr>
          <w:ilvl w:val="0"/>
          <w:numId w:val="9"/>
        </w:numPr>
        <w:spacing w:after="160" w:line="278" w:lineRule="auto"/>
        <w:contextualSpacing/>
        <w:rPr>
          <w:rFonts w:eastAsia="Arial" w:cs="Arial"/>
          <w:b/>
          <w:bCs/>
          <w:kern w:val="2"/>
          <w14:ligatures w14:val="standardContextual"/>
        </w:rPr>
      </w:pPr>
      <w:r w:rsidRPr="68AAF936">
        <w:rPr>
          <w:rFonts w:eastAsia="Arial" w:cs="Arial"/>
          <w:kern w:val="2"/>
          <w14:ligatures w14:val="standardContextual"/>
        </w:rPr>
        <w:t>Have any immediate operational safety risks been identified that require management at a service level or national level?</w:t>
      </w:r>
    </w:p>
    <w:p w14:paraId="0CC299D9" w14:textId="5A7BC281" w:rsidR="68AAF936" w:rsidRDefault="68AAF936" w:rsidP="68AAF936">
      <w:pPr>
        <w:spacing w:after="160" w:line="278" w:lineRule="auto"/>
        <w:ind w:left="720"/>
        <w:contextualSpacing/>
        <w:rPr>
          <w:rFonts w:eastAsia="Arial" w:cs="Arial"/>
          <w:b/>
          <w:bCs/>
        </w:rPr>
      </w:pPr>
    </w:p>
    <w:p w14:paraId="0756D37F"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After a sensitive event such as a misconduct allegation has been raised, the service will investigate the allegation. The nature of the allegation will determine whether it is investigated formally or informally. When an investigation begins, it may also be necessary to share initial learning with relevant parties. The nature of the learning and the parties</w:t>
      </w:r>
      <w:r w:rsidRPr="68AAF936" w:rsidDel="00181AFD">
        <w:rPr>
          <w:rFonts w:eastAsia="Arial" w:cs="Arial"/>
          <w:kern w:val="2"/>
          <w14:ligatures w14:val="standardContextual"/>
        </w:rPr>
        <w:t xml:space="preserve"> </w:t>
      </w:r>
      <w:r w:rsidRPr="68AAF936">
        <w:rPr>
          <w:rFonts w:eastAsia="Arial" w:cs="Arial"/>
          <w:kern w:val="2"/>
          <w14:ligatures w14:val="standardContextual"/>
        </w:rPr>
        <w:t xml:space="preserve">it would be shared with need to be considered in terms of confidentiality and the need to protect any investigation or resulting disciplinary processes. This means that a shared learning should not introduce bias or make presumptions about the allegations in a case prior to a full investigation. </w:t>
      </w:r>
    </w:p>
    <w:p w14:paraId="28FC5188"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For example, learning at this stage may include the identification of immediate safety or wellbeing measures to prevent harm. This learning would be shared only with parties such as relevant leaders and managers who are strictly needed to support the implementation of the measures. Wherever possible, there should be no reference to the alleged misconduct incident to protect the confidentiality and wellbeing of those involved. The learning should be shared on a necessity basis in terms of the information that is shared and who it is shared with.</w:t>
      </w:r>
    </w:p>
    <w:p w14:paraId="72D09031" w14:textId="77777777" w:rsidR="00DB7F3B" w:rsidRPr="00DB7F3B" w:rsidRDefault="00DB7F3B" w:rsidP="68AAF936">
      <w:pPr>
        <w:spacing w:after="160" w:line="278" w:lineRule="auto"/>
        <w:rPr>
          <w:rFonts w:eastAsia="Arial" w:cs="Arial"/>
          <w:kern w:val="2"/>
          <w14:ligatures w14:val="standardContextual"/>
        </w:rPr>
      </w:pPr>
    </w:p>
    <w:p w14:paraId="46389412"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During an investigation</w:t>
      </w:r>
    </w:p>
    <w:p w14:paraId="03956284"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It can also be useful to identify and pause at key checkpoints during an investigation. At those key checkpoints, consider the effectiveness of the current approach to the investigation. It may be useful to consider the following:</w:t>
      </w:r>
    </w:p>
    <w:p w14:paraId="14F10B9E" w14:textId="77777777" w:rsidR="00DB7F3B" w:rsidRPr="00DB7F3B" w:rsidRDefault="7E4B1A9A" w:rsidP="68AAF936">
      <w:pPr>
        <w:numPr>
          <w:ilvl w:val="0"/>
          <w:numId w:val="8"/>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Is there any learning emerging from the investigation as it progresses that may influence the recommendations made?</w:t>
      </w:r>
    </w:p>
    <w:p w14:paraId="7E575F92" w14:textId="77777777" w:rsidR="00DB7F3B" w:rsidRPr="00DB7F3B" w:rsidRDefault="7E4B1A9A" w:rsidP="68AAF936">
      <w:pPr>
        <w:numPr>
          <w:ilvl w:val="0"/>
          <w:numId w:val="8"/>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Is there any learning for a team, department, or the wider organisation emerging?</w:t>
      </w:r>
    </w:p>
    <w:p w14:paraId="78FA6690" w14:textId="77777777" w:rsidR="00DB7F3B" w:rsidRPr="00DB7F3B" w:rsidRDefault="7E4B1A9A" w:rsidP="68AAF936">
      <w:pPr>
        <w:numPr>
          <w:ilvl w:val="0"/>
          <w:numId w:val="8"/>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Are any immediate changes needed to the approach to the management of the investigation?</w:t>
      </w:r>
    </w:p>
    <w:p w14:paraId="393D8C56" w14:textId="77777777" w:rsidR="00DB7F3B" w:rsidRPr="00DB7F3B" w:rsidRDefault="7E4B1A9A" w:rsidP="68AAF936">
      <w:pPr>
        <w:numPr>
          <w:ilvl w:val="0"/>
          <w:numId w:val="8"/>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Have any concerns emerged that need to be addressed?</w:t>
      </w:r>
    </w:p>
    <w:p w14:paraId="093D99FC" w14:textId="77777777" w:rsidR="00DB7F3B" w:rsidRPr="00DB7F3B" w:rsidRDefault="7E4B1A9A" w:rsidP="68AAF936">
      <w:pPr>
        <w:numPr>
          <w:ilvl w:val="0"/>
          <w:numId w:val="8"/>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Is there anything you would do differently if another investigation with the same facts was conducted in future?</w:t>
      </w:r>
    </w:p>
    <w:p w14:paraId="1B490AC0" w14:textId="77777777" w:rsidR="00DB7F3B" w:rsidRPr="00DB7F3B" w:rsidRDefault="7E4B1A9A" w:rsidP="68AAF936">
      <w:pPr>
        <w:numPr>
          <w:ilvl w:val="0"/>
          <w:numId w:val="8"/>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Has communication with all parties been effective, clear, and confidential?</w:t>
      </w:r>
    </w:p>
    <w:p w14:paraId="5C2E360C" w14:textId="77777777" w:rsidR="00DB7F3B" w:rsidRPr="00DB7F3B" w:rsidRDefault="7E4B1A9A" w:rsidP="68AAF936">
      <w:pPr>
        <w:numPr>
          <w:ilvl w:val="0"/>
          <w:numId w:val="8"/>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Are there any wellbeing risks that can be managed and supported?</w:t>
      </w:r>
    </w:p>
    <w:p w14:paraId="73DC6371" w14:textId="77777777" w:rsidR="00DB7F3B" w:rsidRPr="00DB7F3B" w:rsidRDefault="00DB7F3B" w:rsidP="68AAF936">
      <w:pPr>
        <w:spacing w:after="160" w:line="278" w:lineRule="auto"/>
        <w:rPr>
          <w:rFonts w:eastAsia="Arial" w:cs="Arial"/>
          <w:b/>
          <w:bCs/>
          <w:kern w:val="2"/>
          <w14:ligatures w14:val="standardContextual"/>
        </w:rPr>
      </w:pPr>
    </w:p>
    <w:p w14:paraId="68DFD445"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 xml:space="preserve">After an investigation </w:t>
      </w:r>
    </w:p>
    <w:p w14:paraId="6DDF3C65"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After an investigation ends, there may be outcomes for:</w:t>
      </w:r>
    </w:p>
    <w:p w14:paraId="281CED06" w14:textId="77777777" w:rsidR="00DB7F3B" w:rsidRPr="00DB7F3B" w:rsidRDefault="7E4B1A9A" w:rsidP="68AAF936">
      <w:pPr>
        <w:numPr>
          <w:ilvl w:val="0"/>
          <w:numId w:val="12"/>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individuals</w:t>
      </w:r>
    </w:p>
    <w:p w14:paraId="78BDBC3E" w14:textId="77777777" w:rsidR="00DB7F3B" w:rsidRPr="00DB7F3B" w:rsidRDefault="7E4B1A9A" w:rsidP="68AAF936">
      <w:pPr>
        <w:numPr>
          <w:ilvl w:val="0"/>
          <w:numId w:val="12"/>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teams</w:t>
      </w:r>
    </w:p>
    <w:p w14:paraId="21EB9827" w14:textId="77777777" w:rsidR="00DB7F3B" w:rsidRPr="00DB7F3B" w:rsidRDefault="7E4B1A9A" w:rsidP="68AAF936">
      <w:pPr>
        <w:numPr>
          <w:ilvl w:val="0"/>
          <w:numId w:val="12"/>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processes</w:t>
      </w:r>
    </w:p>
    <w:p w14:paraId="6638CCEF" w14:textId="77777777" w:rsidR="00DB7F3B" w:rsidRPr="00DB7F3B" w:rsidRDefault="7E4B1A9A" w:rsidP="68AAF936">
      <w:pPr>
        <w:numPr>
          <w:ilvl w:val="0"/>
          <w:numId w:val="12"/>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the organisation</w:t>
      </w:r>
    </w:p>
    <w:p w14:paraId="2C1AD294" w14:textId="77777777" w:rsidR="00DB7F3B" w:rsidRPr="00DB7F3B" w:rsidRDefault="00DB7F3B" w:rsidP="68AAF936">
      <w:pPr>
        <w:spacing w:after="160" w:line="278" w:lineRule="auto"/>
        <w:rPr>
          <w:rFonts w:eastAsia="Arial" w:cs="Arial"/>
          <w:kern w:val="2"/>
          <w14:ligatures w14:val="standardContextual"/>
        </w:rPr>
      </w:pPr>
    </w:p>
    <w:p w14:paraId="1C0D44DF"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New learning will often be identified and shared after the conclusion of all investigations. Some actions identified from the learning may result in changes to a service’s policies, processes, strategies, and service provision. The process of implementing these changes may also result in learning that could inform future practice.</w:t>
      </w:r>
    </w:p>
    <w:p w14:paraId="4417CEF7" w14:textId="77777777" w:rsidR="00DB7F3B" w:rsidRPr="00DB7F3B" w:rsidRDefault="00DB7F3B" w:rsidP="68AAF936">
      <w:pPr>
        <w:spacing w:after="160" w:line="278" w:lineRule="auto"/>
        <w:rPr>
          <w:rFonts w:eastAsia="Arial" w:cs="Arial"/>
          <w:b/>
          <w:bCs/>
          <w:kern w:val="2"/>
          <w14:ligatures w14:val="standardContextual"/>
        </w:rPr>
      </w:pPr>
    </w:p>
    <w:p w14:paraId="606BBD29" w14:textId="0803BD71" w:rsidR="00DB7F3B" w:rsidRPr="00DB7F3B" w:rsidRDefault="7E4B1A9A" w:rsidP="68AAF936">
      <w:pPr>
        <w:pStyle w:val="Heading3"/>
        <w:rPr>
          <w:rFonts w:eastAsia="Arial" w:cs="Arial"/>
          <w:sz w:val="28"/>
          <w:szCs w:val="28"/>
        </w:rPr>
      </w:pPr>
      <w:r w:rsidRPr="68AAF936">
        <w:rPr>
          <w:rFonts w:eastAsia="Arial" w:cs="Arial"/>
          <w:sz w:val="28"/>
          <w:szCs w:val="28"/>
        </w:rPr>
        <w:t>7.2 Organisational Learning ‘bowtie method’</w:t>
      </w:r>
    </w:p>
    <w:p w14:paraId="2044A929"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The bowtie method in Organisational Learning explores the causes, or ‘threats’, and preventative controls that influence incidents and incident prevention. The method also explores the direct and indirect consequences of the incident, and the supportive measures following an incident that create positive change and mitigate negative impacts or ‘recovery controls '. The bowtie method can be a useful tool to use after the case closes to identify potential learning.</w:t>
      </w:r>
    </w:p>
    <w:p w14:paraId="051A4684"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A</w:t>
      </w:r>
      <w:r w:rsidRPr="68AAF936" w:rsidDel="00923E81">
        <w:rPr>
          <w:rFonts w:eastAsia="Arial" w:cs="Arial"/>
          <w:kern w:val="2"/>
          <w14:ligatures w14:val="standardContextual"/>
        </w:rPr>
        <w:t xml:space="preserve"> </w:t>
      </w:r>
      <w:r w:rsidRPr="68AAF936">
        <w:rPr>
          <w:rFonts w:eastAsia="Arial" w:cs="Arial"/>
          <w:kern w:val="2"/>
          <w14:ligatures w14:val="standardContextual"/>
        </w:rPr>
        <w:t>bowtie assessment may have the following review structure in a misconduct incident:</w:t>
      </w:r>
    </w:p>
    <w:p w14:paraId="5C0FE768" w14:textId="77777777" w:rsidR="00DB7F3B" w:rsidRPr="00DB7F3B" w:rsidRDefault="7E4B1A9A" w:rsidP="68AAF936">
      <w:pPr>
        <w:numPr>
          <w:ilvl w:val="0"/>
          <w:numId w:val="13"/>
        </w:numPr>
        <w:spacing w:after="160" w:line="278" w:lineRule="auto"/>
        <w:contextualSpacing/>
        <w:rPr>
          <w:rFonts w:eastAsia="Arial" w:cs="Arial"/>
          <w:kern w:val="2"/>
          <w14:ligatures w14:val="standardContextual"/>
        </w:rPr>
      </w:pPr>
      <w:r w:rsidRPr="68AAF936">
        <w:rPr>
          <w:rFonts w:eastAsia="Arial" w:cs="Arial"/>
          <w:b/>
          <w:bCs/>
          <w:kern w:val="2"/>
          <w14:ligatures w14:val="standardContextual"/>
        </w:rPr>
        <w:t>A central event</w:t>
      </w:r>
      <w:r w:rsidRPr="68AAF936">
        <w:rPr>
          <w:rFonts w:eastAsia="Arial" w:cs="Arial"/>
          <w:kern w:val="2"/>
          <w14:ligatures w14:val="standardContextual"/>
        </w:rPr>
        <w:t>: for example, an act of misconduct or an issue identified during a case or because of an investigation</w:t>
      </w:r>
    </w:p>
    <w:p w14:paraId="692D561F" w14:textId="77777777" w:rsidR="00DB7F3B" w:rsidRPr="00DB7F3B" w:rsidRDefault="7E4B1A9A" w:rsidP="68AAF936">
      <w:pPr>
        <w:numPr>
          <w:ilvl w:val="0"/>
          <w:numId w:val="13"/>
        </w:numPr>
        <w:spacing w:after="160" w:line="278" w:lineRule="auto"/>
        <w:contextualSpacing/>
        <w:rPr>
          <w:rFonts w:eastAsia="Arial" w:cs="Arial"/>
          <w:kern w:val="2"/>
          <w14:ligatures w14:val="standardContextual"/>
        </w:rPr>
      </w:pPr>
      <w:r w:rsidRPr="68AAF936">
        <w:rPr>
          <w:rFonts w:eastAsia="Arial" w:cs="Arial"/>
          <w:b/>
          <w:bCs/>
          <w:kern w:val="2"/>
          <w14:ligatures w14:val="standardContextual"/>
        </w:rPr>
        <w:t>Threats</w:t>
      </w:r>
      <w:r w:rsidRPr="68AAF936">
        <w:rPr>
          <w:rFonts w:eastAsia="Arial" w:cs="Arial"/>
          <w:kern w:val="2"/>
          <w14:ligatures w14:val="standardContextual"/>
        </w:rPr>
        <w:t>: the causes of an incident; for example, training need, poor communication, or individual behaviour</w:t>
      </w:r>
    </w:p>
    <w:p w14:paraId="0B4DDF32" w14:textId="77777777" w:rsidR="00DB7F3B" w:rsidRPr="00DB7F3B" w:rsidRDefault="7E4B1A9A" w:rsidP="68AAF936">
      <w:pPr>
        <w:numPr>
          <w:ilvl w:val="0"/>
          <w:numId w:val="13"/>
        </w:numPr>
        <w:spacing w:after="160" w:line="278" w:lineRule="auto"/>
        <w:contextualSpacing/>
        <w:rPr>
          <w:rFonts w:eastAsia="Arial" w:cs="Arial"/>
          <w:kern w:val="2"/>
          <w14:ligatures w14:val="standardContextual"/>
        </w:rPr>
      </w:pPr>
      <w:r w:rsidRPr="68AAF936">
        <w:rPr>
          <w:rFonts w:eastAsia="Arial" w:cs="Arial"/>
          <w:b/>
          <w:bCs/>
          <w:kern w:val="2"/>
          <w14:ligatures w14:val="standardContextual"/>
        </w:rPr>
        <w:t>Preventative controls</w:t>
      </w:r>
      <w:r w:rsidRPr="68AAF936">
        <w:rPr>
          <w:rFonts w:eastAsia="Arial" w:cs="Arial"/>
          <w:kern w:val="2"/>
          <w14:ligatures w14:val="standardContextual"/>
        </w:rPr>
        <w:t>: interventions that would prevent a similar incident from reoccurring; for example, training support, improving flow of communication, or management intervention</w:t>
      </w:r>
    </w:p>
    <w:p w14:paraId="45784546" w14:textId="77777777" w:rsidR="00DB7F3B" w:rsidRPr="00DB7F3B" w:rsidRDefault="7E4B1A9A" w:rsidP="68AAF936">
      <w:pPr>
        <w:numPr>
          <w:ilvl w:val="0"/>
          <w:numId w:val="13"/>
        </w:numPr>
        <w:spacing w:after="160" w:line="278" w:lineRule="auto"/>
        <w:contextualSpacing/>
        <w:rPr>
          <w:rFonts w:eastAsia="Arial" w:cs="Arial"/>
          <w:kern w:val="2"/>
          <w14:ligatures w14:val="standardContextual"/>
        </w:rPr>
      </w:pPr>
      <w:r w:rsidRPr="68AAF936">
        <w:rPr>
          <w:rFonts w:eastAsia="Arial" w:cs="Arial"/>
          <w:b/>
          <w:bCs/>
          <w:kern w:val="2"/>
          <w14:ligatures w14:val="standardContextual"/>
        </w:rPr>
        <w:t>Consequences</w:t>
      </w:r>
      <w:r w:rsidRPr="68AAF936">
        <w:rPr>
          <w:rFonts w:eastAsia="Arial" w:cs="Arial"/>
          <w:kern w:val="2"/>
          <w14:ligatures w14:val="standardContextual"/>
        </w:rPr>
        <w:t>: direct and indirect impacts; for example,</w:t>
      </w:r>
      <w:r w:rsidRPr="68AAF936" w:rsidDel="00D22C05">
        <w:rPr>
          <w:rFonts w:eastAsia="Arial" w:cs="Arial"/>
          <w:kern w:val="2"/>
          <w14:ligatures w14:val="standardContextual"/>
        </w:rPr>
        <w:t xml:space="preserve"> </w:t>
      </w:r>
      <w:r w:rsidRPr="68AAF936">
        <w:rPr>
          <w:rFonts w:eastAsia="Arial" w:cs="Arial"/>
          <w:kern w:val="2"/>
          <w14:ligatures w14:val="standardContextual"/>
        </w:rPr>
        <w:t>harm to an employee or employees, harm to</w:t>
      </w:r>
      <w:r w:rsidRPr="68AAF936" w:rsidDel="00496140">
        <w:rPr>
          <w:rFonts w:eastAsia="Arial" w:cs="Arial"/>
          <w:kern w:val="2"/>
          <w14:ligatures w14:val="standardContextual"/>
        </w:rPr>
        <w:t xml:space="preserve"> </w:t>
      </w:r>
      <w:r w:rsidRPr="68AAF936">
        <w:rPr>
          <w:rFonts w:eastAsia="Arial" w:cs="Arial"/>
          <w:kern w:val="2"/>
          <w14:ligatures w14:val="standardContextual"/>
        </w:rPr>
        <w:t>service users, reputational damage, or damaged working relationships</w:t>
      </w:r>
    </w:p>
    <w:p w14:paraId="32066C8A" w14:textId="77777777" w:rsidR="00DB7F3B" w:rsidRPr="00DB7F3B" w:rsidRDefault="7E4B1A9A" w:rsidP="68AAF936">
      <w:pPr>
        <w:numPr>
          <w:ilvl w:val="0"/>
          <w:numId w:val="13"/>
        </w:numPr>
        <w:spacing w:after="160" w:line="278" w:lineRule="auto"/>
        <w:contextualSpacing/>
        <w:rPr>
          <w:rFonts w:eastAsia="Arial" w:cs="Arial"/>
          <w:kern w:val="2"/>
          <w14:ligatures w14:val="standardContextual"/>
        </w:rPr>
      </w:pPr>
      <w:r w:rsidRPr="68AAF936">
        <w:rPr>
          <w:rFonts w:eastAsia="Arial" w:cs="Arial"/>
          <w:b/>
          <w:bCs/>
          <w:kern w:val="2"/>
          <w14:ligatures w14:val="standardContextual"/>
        </w:rPr>
        <w:t>Recovery controls</w:t>
      </w:r>
      <w:r w:rsidRPr="68AAF936">
        <w:rPr>
          <w:rFonts w:eastAsia="Arial" w:cs="Arial"/>
          <w:kern w:val="2"/>
          <w14:ligatures w14:val="standardContextual"/>
        </w:rPr>
        <w:t>: interventions that create positive change and mitigate negative consequences; for example, wellbeing support, communications, mediation, process or policy review, and improvement</w:t>
      </w:r>
    </w:p>
    <w:p w14:paraId="238B780B" w14:textId="7F18793D" w:rsidR="68AAF936" w:rsidRDefault="68AAF936" w:rsidP="68AAF936">
      <w:pPr>
        <w:spacing w:after="160" w:line="278" w:lineRule="auto"/>
        <w:ind w:left="720"/>
        <w:contextualSpacing/>
        <w:rPr>
          <w:rFonts w:eastAsia="Arial" w:cs="Arial"/>
        </w:rPr>
      </w:pPr>
    </w:p>
    <w:p w14:paraId="3B7EC95E" w14:textId="7A3C3C4A"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Note: Illustrative diagram for bow-tie assessment to be added </w:t>
      </w:r>
      <w:r w:rsidR="443E31C8" w:rsidRPr="68AAF936">
        <w:rPr>
          <w:rFonts w:eastAsia="Arial" w:cs="Arial"/>
        </w:rPr>
        <w:t xml:space="preserve">here </w:t>
      </w:r>
      <w:r w:rsidRPr="68AAF936">
        <w:rPr>
          <w:rFonts w:eastAsia="Arial" w:cs="Arial"/>
        </w:rPr>
        <w:t>post-consultation.</w:t>
      </w:r>
    </w:p>
    <w:p w14:paraId="09FFEFD2" w14:textId="77777777" w:rsidR="00DB7F3B" w:rsidRPr="00DB7F3B" w:rsidRDefault="00DB7F3B" w:rsidP="68AAF936">
      <w:pPr>
        <w:spacing w:after="160" w:line="278" w:lineRule="auto"/>
        <w:rPr>
          <w:rFonts w:eastAsia="Arial" w:cs="Arial"/>
          <w:kern w:val="2"/>
          <w14:ligatures w14:val="standardContextual"/>
        </w:rPr>
      </w:pPr>
    </w:p>
    <w:p w14:paraId="74ABFA9F" w14:textId="6D730EBC" w:rsidR="68AAF936" w:rsidRDefault="68AAF936" w:rsidP="68AAF936">
      <w:pPr>
        <w:spacing w:after="160" w:line="278" w:lineRule="auto"/>
        <w:rPr>
          <w:rFonts w:eastAsia="Arial" w:cs="Arial"/>
        </w:rPr>
      </w:pPr>
    </w:p>
    <w:p w14:paraId="77D8061C" w14:textId="59C2A86F" w:rsidR="68AAF936" w:rsidRDefault="68AAF936" w:rsidP="68AAF936">
      <w:pPr>
        <w:spacing w:after="160" w:line="278" w:lineRule="auto"/>
        <w:rPr>
          <w:rFonts w:eastAsia="Arial" w:cs="Arial"/>
          <w:sz w:val="28"/>
          <w:szCs w:val="28"/>
        </w:rPr>
      </w:pPr>
    </w:p>
    <w:p w14:paraId="3AA00882" w14:textId="6BCDE730" w:rsidR="00DB7F3B" w:rsidRPr="00DB7F3B" w:rsidRDefault="7E4B1A9A" w:rsidP="68AAF936">
      <w:pPr>
        <w:pStyle w:val="Heading3"/>
        <w:rPr>
          <w:rFonts w:eastAsia="Arial" w:cs="Arial"/>
          <w:sz w:val="28"/>
          <w:szCs w:val="28"/>
        </w:rPr>
      </w:pPr>
      <w:r w:rsidRPr="68AAF936">
        <w:rPr>
          <w:rFonts w:eastAsia="Arial" w:cs="Arial"/>
          <w:sz w:val="28"/>
          <w:szCs w:val="28"/>
        </w:rPr>
        <w:t>7.3 Effective learning analysis</w:t>
      </w:r>
    </w:p>
    <w:p w14:paraId="28732610"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A service should consider implementing the following to support effective analysis of their misconduct cases, and as a result deliver impactful outcomes from learning:</w:t>
      </w:r>
    </w:p>
    <w:p w14:paraId="64880E8C" w14:textId="77777777" w:rsidR="00DB7F3B" w:rsidRPr="00DB7F3B" w:rsidRDefault="00DB7F3B" w:rsidP="68AAF936">
      <w:pPr>
        <w:spacing w:after="160" w:line="278" w:lineRule="auto"/>
        <w:rPr>
          <w:rFonts w:eastAsia="Arial" w:cs="Arial"/>
          <w:b/>
          <w:bCs/>
          <w:kern w:val="2"/>
          <w14:ligatures w14:val="standardContextual"/>
        </w:rPr>
      </w:pPr>
    </w:p>
    <w:p w14:paraId="52A30FC9"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b/>
          <w:bCs/>
          <w:kern w:val="2"/>
          <w14:ligatures w14:val="standardContextual"/>
        </w:rPr>
        <w:t>Holistic analysis</w:t>
      </w:r>
    </w:p>
    <w:p w14:paraId="54A186AF"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Consider conducting an analysis to understand the systematic and organisational drivers that caused the misconduct and influenced how the case was handled. Consider the causes of behaviours and actions on an individual, team, organisational, and sector-wide level. Reviewing cases in collaboration with other colleagues supports broader perspectives and can introduce diversity of thought. For example, this could be an HR team carrying out a learning review together, rather than a single HR team member completing this. A service could create a working group who have responsibility for reviewing misconduct cases, identifying learning, and implementing any actions that should be taken as a result. A service may consider reviewing misconduct cases in partnership with a broader multidisciplinary team, trade union representatives, or both. </w:t>
      </w:r>
    </w:p>
    <w:p w14:paraId="53B8BA4B"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Consider reviewing the case both as an individual incident and as part of a wider review of case management in a service. Consider any potential patterns and reoccurring issues. A service may review misconduct cases on a semi-regular basis to track any patterns or similarities. For example, this could be done on a monthly or yearly basis, depending on the service’s caseload. </w:t>
      </w:r>
    </w:p>
    <w:p w14:paraId="70CFBD77"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All actions identified from learning should result in clear, defined, and practical actions. They should be clearly logged, owned, and have an appropriate forum or governance structure in place to be tracked and reported into. </w:t>
      </w:r>
    </w:p>
    <w:p w14:paraId="6CA45F7C" w14:textId="77777777" w:rsidR="00DB7F3B" w:rsidRPr="00DB7F3B" w:rsidRDefault="00DB7F3B" w:rsidP="68AAF936">
      <w:pPr>
        <w:spacing w:after="160" w:line="278" w:lineRule="auto"/>
        <w:rPr>
          <w:rFonts w:eastAsia="Arial" w:cs="Arial"/>
          <w:b/>
          <w:bCs/>
          <w:kern w:val="2"/>
          <w14:ligatures w14:val="standardContextual"/>
        </w:rPr>
      </w:pPr>
    </w:p>
    <w:p w14:paraId="78F00F8E" w14:textId="77777777" w:rsidR="00DB7F3B" w:rsidRPr="00DB7F3B" w:rsidRDefault="7E4B1A9A" w:rsidP="68AAF936">
      <w:pPr>
        <w:spacing w:after="160" w:line="278" w:lineRule="auto"/>
        <w:rPr>
          <w:rFonts w:eastAsia="Arial" w:cs="Arial"/>
          <w:b/>
          <w:bCs/>
          <w:kern w:val="2"/>
          <w14:ligatures w14:val="standardContextual"/>
        </w:rPr>
      </w:pPr>
      <w:r w:rsidRPr="68AAF936">
        <w:rPr>
          <w:rFonts w:eastAsia="Arial" w:cs="Arial"/>
          <w:b/>
          <w:bCs/>
          <w:kern w:val="2"/>
          <w14:ligatures w14:val="standardContextual"/>
        </w:rPr>
        <w:t xml:space="preserve">Equality impact analysis </w:t>
      </w:r>
    </w:p>
    <w:p w14:paraId="2C91B000"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Services should undertake equality impact analysis in the identification of learning and when assessing actions that are to be taken forward. Ensuring any equality impacts are fully considered, addressed, and monitored can support a service to proactively recognise and mitigate the risk of negative impacts on colleagues because of their protected characteristics under the </w:t>
      </w:r>
      <w:hyperlink r:id="rId44" w:history="1">
        <w:r w:rsidRPr="68AAF936">
          <w:rPr>
            <w:rFonts w:eastAsia="Arial" w:cs="Arial"/>
            <w:color w:val="467886"/>
            <w:kern w:val="2"/>
            <w:u w:val="single"/>
            <w14:ligatures w14:val="standardContextual"/>
          </w:rPr>
          <w:t>Equality Act 2010</w:t>
        </w:r>
      </w:hyperlink>
      <w:r w:rsidRPr="68AAF936">
        <w:rPr>
          <w:rFonts w:eastAsia="Arial" w:cs="Arial"/>
          <w:kern w:val="2"/>
          <w14:ligatures w14:val="standardContextual"/>
        </w:rPr>
        <w:t>. Equality impact analysis can also be used to understand patterns in how a service’s management of misconduct impacts colleagues depending on their protected characteristics.</w:t>
      </w:r>
    </w:p>
    <w:p w14:paraId="6C19BBC0" w14:textId="77777777" w:rsidR="00DB7F3B" w:rsidRPr="00DB7F3B" w:rsidRDefault="00DB7F3B" w:rsidP="68AAF936">
      <w:pPr>
        <w:spacing w:after="160" w:line="278" w:lineRule="auto"/>
        <w:rPr>
          <w:rFonts w:eastAsia="Arial" w:cs="Arial"/>
          <w:kern w:val="2"/>
          <w14:ligatures w14:val="standardContextual"/>
        </w:rPr>
      </w:pPr>
    </w:p>
    <w:p w14:paraId="3244A717" w14:textId="77777777" w:rsidR="00DB7F3B" w:rsidRPr="00DB7F3B" w:rsidRDefault="7E4B1A9A" w:rsidP="68AAF936">
      <w:pPr>
        <w:pStyle w:val="Heading3"/>
        <w:rPr>
          <w:rFonts w:eastAsia="Arial" w:cs="Arial"/>
          <w:sz w:val="28"/>
          <w:szCs w:val="28"/>
        </w:rPr>
      </w:pPr>
      <w:r w:rsidRPr="68AAF936">
        <w:rPr>
          <w:rFonts w:eastAsia="Arial" w:cs="Arial"/>
          <w:sz w:val="28"/>
          <w:szCs w:val="28"/>
        </w:rPr>
        <w:t>7.4 Learning themes that may result from misconduct cases</w:t>
      </w:r>
    </w:p>
    <w:p w14:paraId="0ECAFE64"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Learning from misconduct cases may come from individual cases or from broader organisational trends. Learning outcomes may come from an issue that occurred, but learning can also come from neutral observations or good practice that may be beneficial to share to support improvement. Positive examples and case studies can be just as valuable as any learning identified from challenges. Sharing good practice in a service and across the sector can support wider improvement. </w:t>
      </w:r>
    </w:p>
    <w:p w14:paraId="1C8DFE6C"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Similarly, managing informal misconduct cases may also identify learning or good practice, though it may be more difficult to identify A case may be informal if an allegation is not upheld and there are no resulting outcomes for a case, or if early resolution has taken place. To capture and implement learning from informal cases, a service may carry out regular reviews on how managers are managing misconduct informally or invite colleagues to share examples of good practice. Additionally, perspectives should be sought from the differing parties who are involved in the case.</w:t>
      </w:r>
    </w:p>
    <w:p w14:paraId="0E6642A3"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When reviewing misconduct cases to identify learning, it is also important to consider differing impacts on colleagues with protected characteristics under the </w:t>
      </w:r>
      <w:hyperlink r:id="rId45" w:history="1">
        <w:r w:rsidRPr="68AAF936">
          <w:rPr>
            <w:rFonts w:eastAsia="Arial" w:cs="Arial"/>
            <w:color w:val="467886"/>
            <w:kern w:val="2"/>
            <w:u w:val="single"/>
            <w14:ligatures w14:val="standardContextual"/>
          </w:rPr>
          <w:t>Equality Act 2010</w:t>
        </w:r>
      </w:hyperlink>
      <w:r w:rsidRPr="68AAF936">
        <w:rPr>
          <w:rFonts w:eastAsia="Arial" w:cs="Arial"/>
          <w:kern w:val="2"/>
          <w14:ligatures w14:val="standardContextual"/>
        </w:rPr>
        <w:t xml:space="preserve">. Both individual cases and wider patterns from a service’s caseload could identify impacts. It is good practice for a service to analyse its case management approach and learning outcomes in relation to the protected characteristics of the employees involved. A service should monitor: </w:t>
      </w:r>
    </w:p>
    <w:p w14:paraId="0417330C" w14:textId="77777777" w:rsidR="00DB7F3B" w:rsidRPr="00DB7F3B" w:rsidRDefault="7E4B1A9A" w:rsidP="68AAF936">
      <w:pPr>
        <w:numPr>
          <w:ilvl w:val="0"/>
          <w:numId w:val="1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disproportionality in case numbers, types and themes</w:t>
      </w:r>
    </w:p>
    <w:p w14:paraId="090DFFF2" w14:textId="77777777" w:rsidR="00DB7F3B" w:rsidRPr="00DB7F3B" w:rsidRDefault="7E4B1A9A" w:rsidP="68AAF936">
      <w:pPr>
        <w:numPr>
          <w:ilvl w:val="0"/>
          <w:numId w:val="1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formal and informal case outcomes</w:t>
      </w:r>
    </w:p>
    <w:p w14:paraId="79209D4F" w14:textId="77777777" w:rsidR="00DB7F3B" w:rsidRPr="00DB7F3B" w:rsidRDefault="7E4B1A9A" w:rsidP="68AAF936">
      <w:pPr>
        <w:numPr>
          <w:ilvl w:val="0"/>
          <w:numId w:val="1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differing impacts on colleagues because of their protected characteristics</w:t>
      </w:r>
    </w:p>
    <w:p w14:paraId="4CC74B81" w14:textId="5DAEFE28" w:rsidR="68AAF936" w:rsidRDefault="68AAF936" w:rsidP="68AAF936">
      <w:pPr>
        <w:spacing w:after="160" w:line="278" w:lineRule="auto"/>
        <w:ind w:left="720"/>
        <w:contextualSpacing/>
        <w:rPr>
          <w:rFonts w:eastAsia="Arial" w:cs="Arial"/>
        </w:rPr>
      </w:pPr>
    </w:p>
    <w:p w14:paraId="733FDAF4"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 xml:space="preserve">A service should also consider inclusion and accessibility when carrying out learning activities or reviews. Reasonable adjustments should be made when needed to support an employee to engage with a learning activity or review. </w:t>
      </w:r>
    </w:p>
    <w:p w14:paraId="73BFBB33"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A service may wish to consider and review the following areas when identifying potential learning from misconduct cases:</w:t>
      </w:r>
    </w:p>
    <w:p w14:paraId="1D7D7769" w14:textId="77777777" w:rsidR="00DB7F3B" w:rsidRPr="00DB7F3B" w:rsidRDefault="7E4B1A9A" w:rsidP="68AAF936">
      <w:pPr>
        <w:numPr>
          <w:ilvl w:val="0"/>
          <w:numId w:val="28"/>
        </w:numPr>
        <w:shd w:val="clear" w:color="auto" w:fill="FFFFFF" w:themeFill="background1"/>
        <w:spacing w:after="0" w:line="240" w:lineRule="auto"/>
        <w:ind w:left="284" w:hanging="284"/>
        <w:contextualSpacing/>
        <w:rPr>
          <w:rFonts w:eastAsia="Arial" w:cs="Arial"/>
          <w:b/>
          <w:bCs/>
          <w:color w:val="242424"/>
          <w:lang w:eastAsia="en-GB"/>
        </w:rPr>
      </w:pPr>
      <w:r w:rsidRPr="68AAF936">
        <w:rPr>
          <w:rFonts w:eastAsia="Arial" w:cs="Arial"/>
          <w:b/>
          <w:bCs/>
          <w:color w:val="242424"/>
          <w:lang w:eastAsia="en-GB"/>
        </w:rPr>
        <w:t xml:space="preserve">Preventative measures that reduce the number of </w:t>
      </w:r>
      <w:r w:rsidRPr="68AAF936">
        <w:rPr>
          <w:rFonts w:eastAsia="Arial" w:cs="Arial"/>
          <w:b/>
          <w:bCs/>
          <w:color w:val="242424"/>
          <w:kern w:val="2"/>
          <w:lang w:eastAsia="en-GB"/>
          <w14:ligatures w14:val="standardContextual"/>
        </w:rPr>
        <w:t>misconduct incidents and formal cases occurring:</w:t>
      </w:r>
    </w:p>
    <w:p w14:paraId="715AAF90" w14:textId="77777777" w:rsidR="00DB7F3B" w:rsidRPr="00DB7F3B" w:rsidRDefault="7E4B1A9A" w:rsidP="68AAF936">
      <w:pPr>
        <w:numPr>
          <w:ilvl w:val="0"/>
          <w:numId w:val="15"/>
        </w:numPr>
        <w:shd w:val="clear" w:color="auto" w:fill="FFFFFF" w:themeFill="background1"/>
        <w:spacing w:after="0" w:line="240" w:lineRule="auto"/>
        <w:ind w:left="851" w:hanging="425"/>
        <w:rPr>
          <w:rFonts w:eastAsia="Arial" w:cs="Arial"/>
          <w:color w:val="242424"/>
          <w:lang w:eastAsia="en-GB"/>
        </w:rPr>
      </w:pPr>
      <w:r w:rsidRPr="68AAF936">
        <w:rPr>
          <w:rFonts w:eastAsia="Arial" w:cs="Arial"/>
          <w:color w:val="242424"/>
          <w:lang w:eastAsia="en-GB"/>
        </w:rPr>
        <w:t>Training for employees and managers</w:t>
      </w:r>
    </w:p>
    <w:p w14:paraId="3F0E1EE6" w14:textId="77777777" w:rsidR="00DB7F3B" w:rsidRPr="00DB7F3B" w:rsidRDefault="7E4B1A9A" w:rsidP="68AAF936">
      <w:pPr>
        <w:numPr>
          <w:ilvl w:val="0"/>
          <w:numId w:val="15"/>
        </w:numPr>
        <w:shd w:val="clear" w:color="auto" w:fill="FFFFFF" w:themeFill="background1"/>
        <w:spacing w:after="0" w:line="240" w:lineRule="auto"/>
        <w:ind w:left="851" w:hanging="425"/>
        <w:rPr>
          <w:rFonts w:eastAsia="Arial" w:cs="Arial"/>
          <w:color w:val="242424"/>
          <w:lang w:eastAsia="en-GB"/>
        </w:rPr>
      </w:pPr>
      <w:r w:rsidRPr="68AAF936">
        <w:rPr>
          <w:rFonts w:eastAsia="Arial" w:cs="Arial"/>
          <w:color w:val="242424"/>
          <w:lang w:eastAsia="en-GB"/>
        </w:rPr>
        <w:t>Proactive cultural measures to foster the right environment</w:t>
      </w:r>
    </w:p>
    <w:p w14:paraId="1BC43380" w14:textId="77777777" w:rsidR="00DB7F3B" w:rsidRPr="00DB7F3B" w:rsidRDefault="7E4B1A9A" w:rsidP="68AAF936">
      <w:pPr>
        <w:numPr>
          <w:ilvl w:val="0"/>
          <w:numId w:val="15"/>
        </w:numPr>
        <w:shd w:val="clear" w:color="auto" w:fill="FFFFFF" w:themeFill="background1"/>
        <w:spacing w:after="0" w:line="240" w:lineRule="auto"/>
        <w:ind w:left="851" w:hanging="425"/>
        <w:rPr>
          <w:rFonts w:eastAsia="Arial" w:cs="Arial"/>
          <w:color w:val="242424"/>
          <w:lang w:eastAsia="en-GB"/>
        </w:rPr>
      </w:pPr>
      <w:r w:rsidRPr="68AAF936">
        <w:rPr>
          <w:rFonts w:eastAsia="Arial" w:cs="Arial"/>
          <w:color w:val="242424"/>
          <w:lang w:eastAsia="en-GB"/>
        </w:rPr>
        <w:t>Team and line management behaviours, practices</w:t>
      </w:r>
      <w:r w:rsidRPr="68AAF936">
        <w:rPr>
          <w:rFonts w:eastAsia="Arial" w:cs="Arial"/>
          <w:color w:val="242424"/>
          <w:kern w:val="2"/>
          <w:lang w:eastAsia="en-GB"/>
          <w14:ligatures w14:val="standardContextual"/>
        </w:rPr>
        <w:t>, and norms</w:t>
      </w:r>
    </w:p>
    <w:p w14:paraId="50F87616" w14:textId="77777777" w:rsidR="00DB7F3B" w:rsidRPr="00DB7F3B" w:rsidRDefault="7E4B1A9A" w:rsidP="68AAF936">
      <w:pPr>
        <w:numPr>
          <w:ilvl w:val="0"/>
          <w:numId w:val="15"/>
        </w:numPr>
        <w:shd w:val="clear" w:color="auto" w:fill="FFFFFF" w:themeFill="background1"/>
        <w:spacing w:after="0" w:line="240" w:lineRule="auto"/>
        <w:ind w:left="851" w:hanging="425"/>
        <w:rPr>
          <w:rFonts w:eastAsia="Arial" w:cs="Arial"/>
          <w:color w:val="242424"/>
          <w:lang w:eastAsia="en-GB"/>
        </w:rPr>
      </w:pPr>
      <w:r w:rsidRPr="68AAF936">
        <w:rPr>
          <w:rFonts w:eastAsia="Arial" w:cs="Arial"/>
          <w:color w:val="242424"/>
          <w:lang w:eastAsia="en-GB"/>
        </w:rPr>
        <w:t>Early intervention strategies to address cases informally</w:t>
      </w:r>
    </w:p>
    <w:p w14:paraId="66D719DC" w14:textId="77777777" w:rsidR="00DB7F3B" w:rsidRPr="00DB7F3B" w:rsidRDefault="7E4B1A9A" w:rsidP="68AAF936">
      <w:pPr>
        <w:numPr>
          <w:ilvl w:val="0"/>
          <w:numId w:val="15"/>
        </w:numPr>
        <w:shd w:val="clear" w:color="auto" w:fill="FFFFFF" w:themeFill="background1"/>
        <w:spacing w:after="0" w:line="240" w:lineRule="auto"/>
        <w:ind w:left="851" w:hanging="425"/>
        <w:rPr>
          <w:rFonts w:eastAsia="Arial" w:cs="Arial"/>
          <w:color w:val="242424"/>
          <w:lang w:eastAsia="en-GB"/>
        </w:rPr>
      </w:pPr>
      <w:r w:rsidRPr="68AAF936">
        <w:rPr>
          <w:rFonts w:eastAsia="Arial" w:cs="Arial"/>
          <w:color w:val="242424"/>
          <w:lang w:eastAsia="en-GB"/>
        </w:rPr>
        <w:t>Strategies used to foster</w:t>
      </w:r>
      <w:r w:rsidRPr="68AAF936">
        <w:rPr>
          <w:rFonts w:eastAsia="Arial" w:cs="Arial"/>
          <w:color w:val="242424"/>
          <w:kern w:val="2"/>
          <w:lang w:eastAsia="en-GB"/>
          <w14:ligatures w14:val="standardContextual"/>
        </w:rPr>
        <w:t xml:space="preserve"> a culture that is inclusive, safe, and focused on safeguarding</w:t>
      </w:r>
    </w:p>
    <w:p w14:paraId="6507EE07" w14:textId="77777777" w:rsidR="00DB7F3B" w:rsidRPr="00DB7F3B" w:rsidRDefault="00DB7F3B" w:rsidP="68AAF936">
      <w:pPr>
        <w:shd w:val="clear" w:color="auto" w:fill="FFFFFF" w:themeFill="background1"/>
        <w:spacing w:after="0" w:line="240" w:lineRule="auto"/>
        <w:rPr>
          <w:rFonts w:eastAsia="Arial" w:cs="Arial"/>
          <w:color w:val="242424"/>
          <w:kern w:val="2"/>
          <w14:ligatures w14:val="standardContextual"/>
        </w:rPr>
      </w:pPr>
    </w:p>
    <w:p w14:paraId="7C436BF7" w14:textId="77777777" w:rsidR="00DB7F3B" w:rsidRPr="00DB7F3B" w:rsidRDefault="7E4B1A9A" w:rsidP="68AAF936">
      <w:pPr>
        <w:shd w:val="clear" w:color="auto" w:fill="FFFFFF" w:themeFill="background1"/>
        <w:spacing w:after="0" w:line="240" w:lineRule="auto"/>
        <w:rPr>
          <w:rFonts w:eastAsia="Arial" w:cs="Arial"/>
          <w:color w:val="242424"/>
          <w:kern w:val="2"/>
          <w:lang w:eastAsia="en-GB"/>
          <w14:ligatures w14:val="standardContextual"/>
        </w:rPr>
      </w:pPr>
      <w:r w:rsidRPr="68AAF936">
        <w:rPr>
          <w:rFonts w:eastAsia="Arial" w:cs="Arial"/>
          <w:color w:val="242424"/>
          <w:kern w:val="2"/>
          <w14:ligatures w14:val="standardContextual"/>
        </w:rPr>
        <w:t xml:space="preserve">A service may wish to consider the following questions when reflecting on this area: </w:t>
      </w:r>
      <w:r w:rsidR="00DB7F3B">
        <w:br/>
      </w:r>
    </w:p>
    <w:p w14:paraId="4191D260" w14:textId="77777777" w:rsidR="00DB7F3B" w:rsidRPr="00DB7F3B" w:rsidRDefault="7E4B1A9A" w:rsidP="68AAF936">
      <w:pPr>
        <w:numPr>
          <w:ilvl w:val="0"/>
          <w:numId w:val="16"/>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kern w:val="2"/>
          <w:lang w:eastAsia="en-GB"/>
          <w14:ligatures w14:val="standardContextual"/>
        </w:rPr>
        <w:t>How are expected standards of conduct, culture, and behaviour communicated to employees and incorporated in employee training?</w:t>
      </w:r>
    </w:p>
    <w:p w14:paraId="1240793B" w14:textId="77777777" w:rsidR="00DB7F3B" w:rsidRPr="00DB7F3B" w:rsidRDefault="7E4B1A9A" w:rsidP="68AAF936">
      <w:pPr>
        <w:numPr>
          <w:ilvl w:val="0"/>
          <w:numId w:val="16"/>
        </w:numPr>
        <w:shd w:val="clear" w:color="auto" w:fill="FFFFFF" w:themeFill="background1"/>
        <w:spacing w:after="0" w:line="240" w:lineRule="auto"/>
        <w:contextualSpacing/>
        <w:rPr>
          <w:rFonts w:eastAsia="Arial" w:cs="Arial"/>
          <w:color w:val="242424"/>
          <w:kern w:val="2"/>
          <w:lang w:eastAsia="en-GB"/>
          <w14:ligatures w14:val="standardContextual"/>
        </w:rPr>
      </w:pPr>
      <w:r w:rsidRPr="68AAF936">
        <w:rPr>
          <w:rFonts w:eastAsia="Arial" w:cs="Arial"/>
          <w:color w:val="242424"/>
          <w:kern w:val="2"/>
          <w:lang w:eastAsia="en-GB"/>
          <w14:ligatures w14:val="standardContextual"/>
        </w:rPr>
        <w:t>How are managers trained and supported to manage misconduct issues?</w:t>
      </w:r>
    </w:p>
    <w:p w14:paraId="4E77836E" w14:textId="77777777" w:rsidR="00DB7F3B" w:rsidRPr="00DB7F3B" w:rsidRDefault="7E4B1A9A" w:rsidP="68AAF936">
      <w:pPr>
        <w:numPr>
          <w:ilvl w:val="0"/>
          <w:numId w:val="16"/>
        </w:numPr>
        <w:shd w:val="clear" w:color="auto" w:fill="FFFFFF" w:themeFill="background1"/>
        <w:spacing w:after="0" w:line="240" w:lineRule="auto"/>
        <w:contextualSpacing/>
        <w:rPr>
          <w:rFonts w:eastAsia="Arial" w:cs="Arial"/>
          <w:color w:val="242424"/>
          <w:kern w:val="2"/>
          <w:lang w:eastAsia="en-GB"/>
          <w14:ligatures w14:val="standardContextual"/>
        </w:rPr>
      </w:pPr>
      <w:r w:rsidRPr="68AAF936">
        <w:rPr>
          <w:rFonts w:eastAsia="Arial" w:cs="Arial"/>
          <w:color w:val="242424"/>
          <w:kern w:val="2"/>
          <w:lang w:eastAsia="en-GB"/>
          <w14:ligatures w14:val="standardContextual"/>
        </w:rPr>
        <w:t>How are you supporting effective informal resolution?</w:t>
      </w:r>
    </w:p>
    <w:p w14:paraId="59F9F93D" w14:textId="77777777" w:rsidR="00DB7F3B" w:rsidRPr="00DB7F3B" w:rsidRDefault="00DB7F3B" w:rsidP="68AAF936">
      <w:pPr>
        <w:shd w:val="clear" w:color="auto" w:fill="FFFFFF" w:themeFill="background1"/>
        <w:spacing w:after="0" w:line="240" w:lineRule="auto"/>
        <w:ind w:left="1440"/>
        <w:rPr>
          <w:rFonts w:eastAsia="Arial" w:cs="Arial"/>
          <w:color w:val="242424"/>
          <w:kern w:val="2"/>
          <w:lang w:eastAsia="en-GB"/>
          <w14:ligatures w14:val="standardContextual"/>
        </w:rPr>
      </w:pPr>
    </w:p>
    <w:p w14:paraId="65DB70AD" w14:textId="77777777" w:rsidR="00DB7F3B" w:rsidRPr="00DB7F3B" w:rsidRDefault="7E4B1A9A" w:rsidP="68AAF936">
      <w:pPr>
        <w:numPr>
          <w:ilvl w:val="0"/>
          <w:numId w:val="28"/>
        </w:numPr>
        <w:shd w:val="clear" w:color="auto" w:fill="FFFFFF" w:themeFill="background1"/>
        <w:spacing w:after="0" w:line="240" w:lineRule="auto"/>
        <w:ind w:left="284" w:hanging="284"/>
        <w:contextualSpacing/>
        <w:rPr>
          <w:rFonts w:eastAsia="Arial" w:cs="Arial"/>
          <w:b/>
          <w:bCs/>
          <w:color w:val="242424"/>
          <w:lang w:eastAsia="en-GB"/>
        </w:rPr>
      </w:pPr>
      <w:r w:rsidRPr="68AAF936">
        <w:rPr>
          <w:rFonts w:eastAsia="Arial" w:cs="Arial"/>
          <w:b/>
          <w:bCs/>
          <w:color w:val="242424"/>
          <w:lang w:eastAsia="en-GB"/>
        </w:rPr>
        <w:t>Measures and processes during an investigation</w:t>
      </w:r>
      <w:r w:rsidRPr="68AAF936">
        <w:rPr>
          <w:rFonts w:eastAsia="Arial" w:cs="Arial"/>
          <w:b/>
          <w:bCs/>
          <w:color w:val="242424"/>
          <w:kern w:val="2"/>
          <w:lang w:eastAsia="en-GB"/>
          <w14:ligatures w14:val="standardContextual"/>
        </w:rPr>
        <w:t>:</w:t>
      </w:r>
    </w:p>
    <w:p w14:paraId="2E7E7CAF" w14:textId="77777777" w:rsidR="00DB7F3B" w:rsidRPr="00DB7F3B" w:rsidRDefault="7E4B1A9A" w:rsidP="68AAF936">
      <w:pPr>
        <w:numPr>
          <w:ilvl w:val="0"/>
          <w:numId w:val="29"/>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lang w:eastAsia="en-GB"/>
        </w:rPr>
        <w:t xml:space="preserve">The process followed, and </w:t>
      </w:r>
      <w:r w:rsidRPr="68AAF936">
        <w:rPr>
          <w:rFonts w:eastAsia="Arial" w:cs="Arial"/>
          <w:color w:val="242424"/>
          <w:kern w:val="2"/>
          <w:lang w:eastAsia="en-GB"/>
          <w14:ligatures w14:val="standardContextual"/>
        </w:rPr>
        <w:t>what has and has not worked</w:t>
      </w:r>
    </w:p>
    <w:p w14:paraId="45820543" w14:textId="77777777" w:rsidR="00DB7F3B" w:rsidRPr="00DB7F3B" w:rsidRDefault="7E4B1A9A" w:rsidP="68AAF936">
      <w:pPr>
        <w:numPr>
          <w:ilvl w:val="0"/>
          <w:numId w:val="29"/>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lang w:eastAsia="en-GB"/>
        </w:rPr>
        <w:t>Treatment and experience of those involved in the investigation</w:t>
      </w:r>
    </w:p>
    <w:p w14:paraId="2810C451" w14:textId="77777777" w:rsidR="00DB7F3B" w:rsidRPr="00DB7F3B" w:rsidRDefault="7E4B1A9A" w:rsidP="68AAF936">
      <w:pPr>
        <w:numPr>
          <w:ilvl w:val="0"/>
          <w:numId w:val="29"/>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lang w:eastAsia="en-GB"/>
        </w:rPr>
        <w:t>The i</w:t>
      </w:r>
      <w:r w:rsidRPr="68AAF936">
        <w:rPr>
          <w:rFonts w:eastAsia="Arial" w:cs="Arial"/>
          <w:color w:val="242424"/>
          <w:kern w:val="2"/>
          <w:lang w:eastAsia="en-GB"/>
          <w14:ligatures w14:val="standardContextual"/>
        </w:rPr>
        <w:t xml:space="preserve">nternal and external </w:t>
      </w:r>
      <w:r w:rsidRPr="68AAF936" w:rsidDel="00786210">
        <w:rPr>
          <w:rFonts w:eastAsia="Arial" w:cs="Arial"/>
          <w:color w:val="242424"/>
          <w:kern w:val="2"/>
          <w:lang w:eastAsia="en-GB"/>
          <w14:ligatures w14:val="standardContextual"/>
        </w:rPr>
        <w:t>s</w:t>
      </w:r>
      <w:r w:rsidRPr="68AAF936">
        <w:rPr>
          <w:rFonts w:eastAsia="Arial" w:cs="Arial"/>
          <w:color w:val="242424"/>
          <w:kern w:val="2"/>
          <w:lang w:eastAsia="en-GB"/>
          <w14:ligatures w14:val="standardContextual"/>
        </w:rPr>
        <w:t>election and training of investigators</w:t>
      </w:r>
    </w:p>
    <w:p w14:paraId="26481D43" w14:textId="77777777" w:rsidR="00DB7F3B" w:rsidRPr="00DB7F3B" w:rsidRDefault="7E4B1A9A" w:rsidP="68AAF936">
      <w:pPr>
        <w:numPr>
          <w:ilvl w:val="0"/>
          <w:numId w:val="29"/>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lang w:eastAsia="en-GB"/>
        </w:rPr>
        <w:t xml:space="preserve">The presence or absence of welfare support </w:t>
      </w:r>
    </w:p>
    <w:p w14:paraId="379751E8" w14:textId="77777777" w:rsidR="00DB7F3B" w:rsidRPr="00DB7F3B" w:rsidRDefault="7E4B1A9A" w:rsidP="68AAF936">
      <w:pPr>
        <w:numPr>
          <w:ilvl w:val="0"/>
          <w:numId w:val="29"/>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lang w:eastAsia="en-GB"/>
        </w:rPr>
        <w:t>Record keeping</w:t>
      </w:r>
    </w:p>
    <w:p w14:paraId="432DFE75" w14:textId="77777777" w:rsidR="00DB7F3B" w:rsidRPr="00DB7F3B" w:rsidRDefault="7E4B1A9A" w:rsidP="68AAF936">
      <w:pPr>
        <w:numPr>
          <w:ilvl w:val="0"/>
          <w:numId w:val="29"/>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lang w:eastAsia="en-GB"/>
        </w:rPr>
        <w:t>Timelines and quality of investigation</w:t>
      </w:r>
    </w:p>
    <w:p w14:paraId="5687ABCA" w14:textId="77777777" w:rsidR="00DB7F3B" w:rsidRPr="00DB7F3B" w:rsidRDefault="7E4B1A9A" w:rsidP="68AAF936">
      <w:pPr>
        <w:numPr>
          <w:ilvl w:val="0"/>
          <w:numId w:val="29"/>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lang w:eastAsia="en-GB"/>
        </w:rPr>
        <w:t>Responding to safeguarding concerns</w:t>
      </w:r>
      <w:r w:rsidRPr="68AAF936">
        <w:rPr>
          <w:rFonts w:eastAsia="Arial" w:cs="Arial"/>
          <w:color w:val="242424"/>
          <w:kern w:val="2"/>
          <w:lang w:eastAsia="en-GB"/>
          <w14:ligatures w14:val="standardContextual"/>
        </w:rPr>
        <w:t xml:space="preserve"> and criminal allegations</w:t>
      </w:r>
    </w:p>
    <w:p w14:paraId="2DD643B1" w14:textId="77777777" w:rsidR="00DB7F3B" w:rsidRPr="00DB7F3B" w:rsidRDefault="00DB7F3B" w:rsidP="68AAF936">
      <w:pPr>
        <w:shd w:val="clear" w:color="auto" w:fill="FFFFFF" w:themeFill="background1"/>
        <w:spacing w:after="0" w:line="240" w:lineRule="auto"/>
        <w:ind w:left="720"/>
        <w:rPr>
          <w:rFonts w:eastAsia="Arial" w:cs="Arial"/>
          <w:color w:val="242424"/>
          <w:lang w:eastAsia="en-GB"/>
        </w:rPr>
      </w:pPr>
    </w:p>
    <w:p w14:paraId="0FEFB8F1" w14:textId="77777777" w:rsidR="00DB7F3B" w:rsidRPr="00DB7F3B" w:rsidRDefault="7E4B1A9A" w:rsidP="68AAF936">
      <w:pPr>
        <w:spacing w:after="160" w:line="278" w:lineRule="auto"/>
        <w:rPr>
          <w:rFonts w:eastAsia="Arial" w:cs="Arial"/>
          <w:color w:val="242424"/>
          <w:lang w:eastAsia="en-GB"/>
        </w:rPr>
      </w:pPr>
      <w:r w:rsidRPr="68AAF936">
        <w:rPr>
          <w:rFonts w:eastAsia="Arial" w:cs="Arial"/>
          <w:color w:val="242424"/>
          <w:kern w:val="2"/>
          <w14:ligatures w14:val="standardContextual"/>
        </w:rPr>
        <w:t xml:space="preserve">A service may wish to consider the following questions when reflecting on this area: </w:t>
      </w:r>
    </w:p>
    <w:p w14:paraId="7A96AEA5" w14:textId="77777777" w:rsidR="00DB7F3B" w:rsidRPr="00DB7F3B" w:rsidRDefault="7E4B1A9A" w:rsidP="68AAF936">
      <w:pPr>
        <w:numPr>
          <w:ilvl w:val="0"/>
          <w:numId w:val="18"/>
        </w:numPr>
        <w:spacing w:after="160" w:line="278" w:lineRule="auto"/>
        <w:contextualSpacing/>
        <w:rPr>
          <w:rFonts w:eastAsia="Arial" w:cs="Arial"/>
          <w:lang w:eastAsia="en-GB"/>
        </w:rPr>
      </w:pPr>
      <w:r w:rsidRPr="68AAF936">
        <w:rPr>
          <w:rFonts w:eastAsia="Arial" w:cs="Arial"/>
          <w:kern w:val="2"/>
          <w:lang w:eastAsia="en-GB"/>
          <w14:ligatures w14:val="standardContextual"/>
        </w:rPr>
        <w:t>During an investigation, have there been any concerns raised</w:t>
      </w:r>
      <w:r w:rsidRPr="68AAF936" w:rsidDel="000A097C">
        <w:rPr>
          <w:rFonts w:eastAsia="Arial" w:cs="Arial"/>
          <w:kern w:val="2"/>
          <w:lang w:eastAsia="en-GB"/>
          <w14:ligatures w14:val="standardContextual"/>
        </w:rPr>
        <w:t xml:space="preserve"> </w:t>
      </w:r>
      <w:r w:rsidRPr="68AAF936">
        <w:rPr>
          <w:rFonts w:eastAsia="Arial" w:cs="Arial"/>
          <w:kern w:val="2"/>
          <w:lang w:eastAsia="en-GB"/>
          <w14:ligatures w14:val="standardContextual"/>
        </w:rPr>
        <w:t>about the process followed?</w:t>
      </w:r>
    </w:p>
    <w:p w14:paraId="01B6D985" w14:textId="77777777" w:rsidR="00DB7F3B" w:rsidRPr="00DB7F3B" w:rsidRDefault="7E4B1A9A" w:rsidP="68AAF936">
      <w:pPr>
        <w:numPr>
          <w:ilvl w:val="0"/>
          <w:numId w:val="17"/>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kern w:val="2"/>
          <w:lang w:eastAsia="en-GB"/>
          <w14:ligatures w14:val="standardContextual"/>
        </w:rPr>
        <w:t>What provisions are in place to ensure welfare support is accessible to all employees involved in an investigation?</w:t>
      </w:r>
    </w:p>
    <w:p w14:paraId="5EC3743E" w14:textId="77777777" w:rsidR="00DB7F3B" w:rsidRPr="00DB7F3B" w:rsidRDefault="7E4B1A9A" w:rsidP="68AAF936">
      <w:pPr>
        <w:numPr>
          <w:ilvl w:val="0"/>
          <w:numId w:val="17"/>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kern w:val="2"/>
          <w:lang w:eastAsia="en-GB"/>
          <w14:ligatures w14:val="standardContextual"/>
        </w:rPr>
        <w:t>What training and guidance is in place for employees carrying out investigations?</w:t>
      </w:r>
    </w:p>
    <w:p w14:paraId="0B4F5FD2" w14:textId="77777777" w:rsidR="00DB7F3B" w:rsidRPr="00DB7F3B" w:rsidRDefault="7E4B1A9A" w:rsidP="68AAF936">
      <w:pPr>
        <w:numPr>
          <w:ilvl w:val="0"/>
          <w:numId w:val="17"/>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kern w:val="2"/>
          <w:lang w:eastAsia="en-GB"/>
          <w14:ligatures w14:val="standardContextual"/>
        </w:rPr>
        <w:t>What checkpoints are in place prior to and during an investigation? Do those checkpoints help progress the case effectively and to an appropriate timescale?</w:t>
      </w:r>
    </w:p>
    <w:p w14:paraId="7F1BB7FA" w14:textId="77777777" w:rsidR="00DB7F3B" w:rsidRPr="00DB7F3B" w:rsidRDefault="00DB7F3B" w:rsidP="68AAF936">
      <w:pPr>
        <w:shd w:val="clear" w:color="auto" w:fill="FFFFFF" w:themeFill="background1"/>
        <w:spacing w:after="0" w:line="240" w:lineRule="auto"/>
        <w:ind w:left="720"/>
        <w:rPr>
          <w:rFonts w:eastAsia="Arial" w:cs="Arial"/>
          <w:color w:val="242424"/>
          <w:kern w:val="2"/>
          <w:lang w:eastAsia="en-GB"/>
          <w14:ligatures w14:val="standardContextual"/>
        </w:rPr>
      </w:pPr>
    </w:p>
    <w:p w14:paraId="656DF6F7" w14:textId="77777777" w:rsidR="00DB7F3B" w:rsidRPr="00DB7F3B" w:rsidRDefault="00DB7F3B" w:rsidP="68AAF936">
      <w:pPr>
        <w:shd w:val="clear" w:color="auto" w:fill="FFFFFF" w:themeFill="background1"/>
        <w:spacing w:after="0" w:line="240" w:lineRule="auto"/>
        <w:ind w:left="1440"/>
        <w:rPr>
          <w:rFonts w:eastAsia="Arial" w:cs="Arial"/>
          <w:color w:val="242424"/>
          <w:lang w:eastAsia="en-GB"/>
        </w:rPr>
      </w:pPr>
    </w:p>
    <w:p w14:paraId="46A85964" w14:textId="77777777" w:rsidR="00DB7F3B" w:rsidRPr="00DB7F3B" w:rsidRDefault="7E4B1A9A" w:rsidP="68AAF936">
      <w:pPr>
        <w:numPr>
          <w:ilvl w:val="0"/>
          <w:numId w:val="28"/>
        </w:numPr>
        <w:shd w:val="clear" w:color="auto" w:fill="FFFFFF" w:themeFill="background1"/>
        <w:spacing w:after="0" w:line="240" w:lineRule="auto"/>
        <w:ind w:left="284" w:hanging="284"/>
        <w:contextualSpacing/>
        <w:rPr>
          <w:rFonts w:eastAsia="Arial" w:cs="Arial"/>
          <w:b/>
          <w:bCs/>
          <w:color w:val="242424"/>
          <w:lang w:eastAsia="en-GB"/>
        </w:rPr>
      </w:pPr>
      <w:r w:rsidRPr="68AAF936">
        <w:rPr>
          <w:rFonts w:eastAsia="Arial" w:cs="Arial"/>
          <w:b/>
          <w:bCs/>
          <w:color w:val="242424"/>
          <w:lang w:eastAsia="en-GB"/>
        </w:rPr>
        <w:t>Post-</w:t>
      </w:r>
      <w:r w:rsidRPr="68AAF936">
        <w:rPr>
          <w:rFonts w:eastAsia="Arial" w:cs="Arial"/>
          <w:b/>
          <w:bCs/>
          <w:color w:val="242424"/>
          <w:kern w:val="2"/>
          <w:lang w:eastAsia="en-GB"/>
          <w14:ligatures w14:val="standardContextual"/>
        </w:rPr>
        <w:t>investigation actions:</w:t>
      </w:r>
    </w:p>
    <w:p w14:paraId="437A2E3D" w14:textId="77777777" w:rsidR="00DB7F3B" w:rsidRPr="00DB7F3B" w:rsidRDefault="7E4B1A9A" w:rsidP="68AAF936">
      <w:pPr>
        <w:numPr>
          <w:ilvl w:val="0"/>
          <w:numId w:val="30"/>
        </w:numPr>
        <w:shd w:val="clear" w:color="auto" w:fill="FFFFFF" w:themeFill="background1"/>
        <w:spacing w:after="0" w:line="240" w:lineRule="auto"/>
        <w:contextualSpacing/>
        <w:rPr>
          <w:rFonts w:eastAsia="Arial" w:cs="Arial"/>
          <w:color w:val="242424"/>
          <w:kern w:val="2"/>
          <w:lang w:eastAsia="en-GB"/>
          <w14:ligatures w14:val="standardContextual"/>
        </w:rPr>
      </w:pPr>
      <w:r w:rsidRPr="68AAF936">
        <w:rPr>
          <w:rFonts w:eastAsia="Arial" w:cs="Arial"/>
          <w:color w:val="242424"/>
          <w:kern w:val="2"/>
          <w:lang w:eastAsia="en-GB"/>
          <w14:ligatures w14:val="standardContextual"/>
        </w:rPr>
        <w:t>Ongoing, post-investigation welfare support</w:t>
      </w:r>
    </w:p>
    <w:p w14:paraId="414CBCFE" w14:textId="77777777" w:rsidR="00DB7F3B" w:rsidRPr="00DB7F3B" w:rsidRDefault="7E4B1A9A" w:rsidP="68AAF936">
      <w:pPr>
        <w:numPr>
          <w:ilvl w:val="0"/>
          <w:numId w:val="30"/>
        </w:numPr>
        <w:shd w:val="clear" w:color="auto" w:fill="FFFFFF" w:themeFill="background1"/>
        <w:spacing w:after="0" w:line="240" w:lineRule="auto"/>
        <w:contextualSpacing/>
        <w:rPr>
          <w:rFonts w:eastAsia="Arial" w:cs="Arial"/>
          <w:color w:val="242424"/>
          <w:kern w:val="2"/>
          <w:lang w:eastAsia="en-GB"/>
          <w14:ligatures w14:val="standardContextual"/>
        </w:rPr>
      </w:pPr>
      <w:r w:rsidRPr="68AAF936">
        <w:rPr>
          <w:rFonts w:eastAsia="Arial" w:cs="Arial"/>
          <w:color w:val="242424"/>
          <w:kern w:val="2"/>
          <w:lang w:eastAsia="en-GB"/>
          <w14:ligatures w14:val="standardContextual"/>
        </w:rPr>
        <w:t>Disciplinary hearings</w:t>
      </w:r>
    </w:p>
    <w:p w14:paraId="37FB2627" w14:textId="77777777" w:rsidR="00DB7F3B" w:rsidRPr="00DB7F3B" w:rsidRDefault="7E4B1A9A" w:rsidP="68AAF936">
      <w:pPr>
        <w:numPr>
          <w:ilvl w:val="0"/>
          <w:numId w:val="30"/>
        </w:numPr>
        <w:shd w:val="clear" w:color="auto" w:fill="FFFFFF" w:themeFill="background1"/>
        <w:spacing w:after="0" w:line="240" w:lineRule="auto"/>
        <w:contextualSpacing/>
        <w:rPr>
          <w:rFonts w:eastAsia="Arial" w:cs="Arial"/>
          <w:color w:val="242424"/>
          <w:kern w:val="2"/>
          <w:lang w:eastAsia="en-GB"/>
          <w14:ligatures w14:val="standardContextual"/>
        </w:rPr>
      </w:pPr>
      <w:r w:rsidRPr="68AAF936">
        <w:rPr>
          <w:rFonts w:eastAsia="Arial" w:cs="Arial"/>
          <w:color w:val="242424"/>
          <w:kern w:val="2"/>
          <w:lang w:eastAsia="en-GB"/>
          <w14:ligatures w14:val="standardContextual"/>
        </w:rPr>
        <w:t>Supporting team dynamics and leaders after the case, whether the allegation was upheld or not</w:t>
      </w:r>
    </w:p>
    <w:p w14:paraId="38F383C1" w14:textId="77777777" w:rsidR="00DB7F3B" w:rsidRPr="00DB7F3B" w:rsidRDefault="7E4B1A9A" w:rsidP="68AAF936">
      <w:pPr>
        <w:numPr>
          <w:ilvl w:val="0"/>
          <w:numId w:val="30"/>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lang w:eastAsia="en-GB"/>
        </w:rPr>
        <w:t>Reporting</w:t>
      </w:r>
    </w:p>
    <w:p w14:paraId="711257EE" w14:textId="77777777" w:rsidR="00DB7F3B" w:rsidRPr="00DB7F3B" w:rsidRDefault="7E4B1A9A" w:rsidP="68AAF936">
      <w:pPr>
        <w:numPr>
          <w:ilvl w:val="0"/>
          <w:numId w:val="30"/>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lang w:eastAsia="en-GB"/>
        </w:rPr>
        <w:t>Communications and media</w:t>
      </w:r>
    </w:p>
    <w:p w14:paraId="67C436FA" w14:textId="77777777" w:rsidR="00DB7F3B" w:rsidRPr="00DB7F3B" w:rsidRDefault="7E4B1A9A" w:rsidP="68AAF936">
      <w:pPr>
        <w:numPr>
          <w:ilvl w:val="0"/>
          <w:numId w:val="30"/>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lang w:eastAsia="en-GB"/>
        </w:rPr>
        <w:t>Thematic analysis</w:t>
      </w:r>
    </w:p>
    <w:p w14:paraId="6D7DF5DA" w14:textId="77777777" w:rsidR="00DB7F3B" w:rsidRPr="00DB7F3B" w:rsidRDefault="7E4B1A9A" w:rsidP="68AAF936">
      <w:pPr>
        <w:numPr>
          <w:ilvl w:val="0"/>
          <w:numId w:val="30"/>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lang w:eastAsia="en-GB"/>
        </w:rPr>
        <w:t>Sharing the learning in and across teams in a manner which preserves confidentiality but provides assurance to teams that their concerns have been addressed</w:t>
      </w:r>
    </w:p>
    <w:p w14:paraId="144D8EA7" w14:textId="77777777" w:rsidR="00DB7F3B" w:rsidRPr="00DB7F3B" w:rsidRDefault="00DB7F3B" w:rsidP="68AAF936">
      <w:pPr>
        <w:shd w:val="clear" w:color="auto" w:fill="FFFFFF" w:themeFill="background1"/>
        <w:spacing w:after="0" w:line="240" w:lineRule="auto"/>
        <w:ind w:left="720"/>
        <w:rPr>
          <w:rFonts w:eastAsia="Arial" w:cs="Arial"/>
          <w:color w:val="242424"/>
          <w:lang w:eastAsia="en-GB"/>
        </w:rPr>
      </w:pPr>
    </w:p>
    <w:p w14:paraId="7E666A37" w14:textId="77777777" w:rsidR="00DB7F3B" w:rsidRPr="00DB7F3B" w:rsidRDefault="7E4B1A9A" w:rsidP="68AAF936">
      <w:pPr>
        <w:shd w:val="clear" w:color="auto" w:fill="FFFFFF" w:themeFill="background1"/>
        <w:spacing w:after="0" w:line="240" w:lineRule="auto"/>
        <w:rPr>
          <w:rFonts w:eastAsia="Arial" w:cs="Arial"/>
          <w:color w:val="242424"/>
          <w:kern w:val="2"/>
          <w14:ligatures w14:val="standardContextual"/>
        </w:rPr>
      </w:pPr>
      <w:r w:rsidRPr="68AAF936">
        <w:rPr>
          <w:rFonts w:eastAsia="Arial" w:cs="Arial"/>
          <w:color w:val="242424"/>
          <w:kern w:val="2"/>
          <w14:ligatures w14:val="standardContextual"/>
        </w:rPr>
        <w:t>A service may wish to consider the following questions when reflecting on this area:</w:t>
      </w:r>
    </w:p>
    <w:p w14:paraId="3A05C01C" w14:textId="77777777" w:rsidR="00DB7F3B" w:rsidRPr="00DB7F3B" w:rsidRDefault="00DB7F3B" w:rsidP="68AAF936">
      <w:pPr>
        <w:shd w:val="clear" w:color="auto" w:fill="FFFFFF" w:themeFill="background1"/>
        <w:spacing w:after="0" w:line="240" w:lineRule="auto"/>
        <w:rPr>
          <w:rFonts w:eastAsia="Arial" w:cs="Arial"/>
          <w:color w:val="242424"/>
          <w:lang w:eastAsia="en-GB"/>
        </w:rPr>
      </w:pPr>
    </w:p>
    <w:p w14:paraId="09A7BD07" w14:textId="77777777" w:rsidR="00DB7F3B" w:rsidRPr="00DB7F3B" w:rsidRDefault="7E4B1A9A" w:rsidP="68AAF936">
      <w:pPr>
        <w:numPr>
          <w:ilvl w:val="0"/>
          <w:numId w:val="19"/>
        </w:numPr>
        <w:shd w:val="clear" w:color="auto" w:fill="FFFFFF" w:themeFill="background1"/>
        <w:spacing w:after="0" w:line="240" w:lineRule="auto"/>
        <w:contextualSpacing/>
        <w:rPr>
          <w:rFonts w:eastAsia="Arial" w:cs="Arial"/>
          <w:color w:val="242424"/>
          <w:kern w:val="2"/>
          <w:lang w:eastAsia="en-GB"/>
          <w14:ligatures w14:val="standardContextual"/>
        </w:rPr>
      </w:pPr>
      <w:r w:rsidRPr="68AAF936">
        <w:rPr>
          <w:rFonts w:eastAsia="Arial" w:cs="Arial"/>
          <w:color w:val="242424"/>
          <w:kern w:val="2"/>
          <w:lang w:eastAsia="en-GB"/>
          <w14:ligatures w14:val="standardContextual"/>
        </w:rPr>
        <w:t xml:space="preserve">How is learning reflected on and identified after an investigation ends?  </w:t>
      </w:r>
    </w:p>
    <w:p w14:paraId="030B7AA2" w14:textId="77777777" w:rsidR="00DB7F3B" w:rsidRPr="00DB7F3B" w:rsidRDefault="7E4B1A9A" w:rsidP="68AAF936">
      <w:pPr>
        <w:numPr>
          <w:ilvl w:val="0"/>
          <w:numId w:val="19"/>
        </w:numPr>
        <w:shd w:val="clear" w:color="auto" w:fill="FFFFFF" w:themeFill="background1"/>
        <w:spacing w:after="0" w:line="240" w:lineRule="auto"/>
        <w:contextualSpacing/>
        <w:rPr>
          <w:rFonts w:eastAsia="Arial" w:cs="Arial"/>
          <w:color w:val="242424"/>
          <w:kern w:val="2"/>
          <w:lang w:eastAsia="en-GB"/>
          <w14:ligatures w14:val="standardContextual"/>
        </w:rPr>
      </w:pPr>
      <w:r w:rsidRPr="68AAF936">
        <w:rPr>
          <w:rFonts w:eastAsia="Arial" w:cs="Arial"/>
          <w:color w:val="242424"/>
          <w:kern w:val="2"/>
          <w:lang w:eastAsia="en-GB"/>
          <w14:ligatures w14:val="standardContextual"/>
        </w:rPr>
        <w:t>Is there established guidance or protocols for reporting on investigation outcomes internally for governance, and externally in media where necessary?</w:t>
      </w:r>
    </w:p>
    <w:p w14:paraId="6A6C3818" w14:textId="77777777" w:rsidR="00DB7F3B" w:rsidRPr="00DB7F3B" w:rsidRDefault="7E4B1A9A" w:rsidP="68AAF936">
      <w:pPr>
        <w:numPr>
          <w:ilvl w:val="0"/>
          <w:numId w:val="19"/>
        </w:numPr>
        <w:shd w:val="clear" w:color="auto" w:fill="FFFFFF" w:themeFill="background1"/>
        <w:spacing w:after="0" w:line="240" w:lineRule="auto"/>
        <w:contextualSpacing/>
        <w:rPr>
          <w:rFonts w:eastAsia="Arial" w:cs="Arial"/>
          <w:color w:val="242424"/>
          <w:lang w:eastAsia="en-GB"/>
        </w:rPr>
      </w:pPr>
      <w:r w:rsidRPr="68AAF936">
        <w:rPr>
          <w:rFonts w:eastAsia="Arial" w:cs="Arial"/>
          <w:color w:val="242424"/>
          <w:kern w:val="2"/>
          <w:lang w:eastAsia="en-GB"/>
          <w14:ligatures w14:val="standardContextual"/>
        </w:rPr>
        <w:t>How are investigation case outcomes reviewed as a whole?</w:t>
      </w:r>
    </w:p>
    <w:p w14:paraId="54B0E71B" w14:textId="77777777" w:rsidR="00DB7F3B" w:rsidRPr="00DB7F3B" w:rsidRDefault="00DB7F3B" w:rsidP="68AAF936">
      <w:pPr>
        <w:spacing w:after="160" w:line="278" w:lineRule="auto"/>
        <w:rPr>
          <w:rFonts w:eastAsia="Arial" w:cs="Arial"/>
          <w:b/>
          <w:bCs/>
          <w:kern w:val="2"/>
          <w14:ligatures w14:val="standardContextual"/>
        </w:rPr>
      </w:pPr>
    </w:p>
    <w:p w14:paraId="219EE75A" w14:textId="77777777" w:rsidR="00DB7F3B" w:rsidRPr="00DB7F3B" w:rsidRDefault="7E4B1A9A" w:rsidP="68AAF936">
      <w:pPr>
        <w:pStyle w:val="Heading2"/>
        <w:rPr>
          <w:rFonts w:eastAsia="Arial"/>
        </w:rPr>
      </w:pPr>
      <w:r w:rsidRPr="68AAF936">
        <w:rPr>
          <w:rFonts w:eastAsia="Arial"/>
        </w:rPr>
        <w:t xml:space="preserve">8. Sharing learning </w:t>
      </w:r>
    </w:p>
    <w:p w14:paraId="681E3ACA" w14:textId="77777777" w:rsidR="00DB7F3B" w:rsidRPr="00DB7F3B" w:rsidRDefault="7E4B1A9A" w:rsidP="68AAF936">
      <w:pPr>
        <w:pStyle w:val="Heading3"/>
        <w:rPr>
          <w:rFonts w:eastAsia="Arial" w:cs="Arial"/>
          <w:sz w:val="28"/>
          <w:szCs w:val="28"/>
        </w:rPr>
      </w:pPr>
      <w:r w:rsidRPr="68AAF936">
        <w:rPr>
          <w:rFonts w:eastAsia="Arial" w:cs="Arial"/>
          <w:sz w:val="28"/>
          <w:szCs w:val="28"/>
        </w:rPr>
        <w:t>8.1 Safe sharing checklist</w:t>
      </w:r>
    </w:p>
    <w:p w14:paraId="6AC24214"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If the key principles of data protection and legal compliance have been met, anonymised learning across organisational themes can</w:t>
      </w:r>
      <w:r w:rsidRPr="68AAF936">
        <w:rPr>
          <w:rFonts w:eastAsia="Arial" w:cs="Arial"/>
          <w:b/>
          <w:bCs/>
          <w:kern w:val="2"/>
          <w14:ligatures w14:val="standardContextual"/>
        </w:rPr>
        <w:t xml:space="preserve"> </w:t>
      </w:r>
      <w:r w:rsidRPr="68AAF936">
        <w:rPr>
          <w:rFonts w:eastAsia="Arial" w:cs="Arial"/>
          <w:kern w:val="2"/>
          <w14:ligatures w14:val="standardContextual"/>
        </w:rPr>
        <w:t>be shared with appropriate risk assessment. For theme examples, refer to the ‘Learning themes that may result from misconduct cases’ section.</w:t>
      </w:r>
    </w:p>
    <w:p w14:paraId="396DEC48"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The following information should never be shared in any internal or external learning from misconduct cases:</w:t>
      </w:r>
    </w:p>
    <w:p w14:paraId="490E5907" w14:textId="77777777" w:rsidR="00DB7F3B" w:rsidRPr="00DB7F3B" w:rsidRDefault="7E4B1A9A" w:rsidP="68AAF936">
      <w:pPr>
        <w:numPr>
          <w:ilvl w:val="0"/>
          <w:numId w:val="20"/>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Identifiable case details</w:t>
      </w:r>
    </w:p>
    <w:p w14:paraId="467A3756" w14:textId="77777777" w:rsidR="00DB7F3B" w:rsidRPr="00DB7F3B" w:rsidRDefault="7E4B1A9A" w:rsidP="68AAF936">
      <w:pPr>
        <w:numPr>
          <w:ilvl w:val="0"/>
          <w:numId w:val="20"/>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Speculative conclusions or information that is not factual</w:t>
      </w:r>
    </w:p>
    <w:p w14:paraId="59A9B741" w14:textId="77777777" w:rsidR="00DB7F3B" w:rsidRPr="00DB7F3B" w:rsidRDefault="7E4B1A9A" w:rsidP="68AAF936">
      <w:pPr>
        <w:numPr>
          <w:ilvl w:val="0"/>
          <w:numId w:val="20"/>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Health information</w:t>
      </w:r>
    </w:p>
    <w:p w14:paraId="5EE830B9" w14:textId="77777777" w:rsidR="00DB7F3B" w:rsidRPr="00DB7F3B" w:rsidRDefault="7E4B1A9A" w:rsidP="68AAF936">
      <w:pPr>
        <w:numPr>
          <w:ilvl w:val="0"/>
          <w:numId w:val="20"/>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Criminal offence details</w:t>
      </w:r>
    </w:p>
    <w:p w14:paraId="0CA20991" w14:textId="77777777" w:rsidR="00DB7F3B" w:rsidRPr="00DB7F3B" w:rsidRDefault="7E4B1A9A" w:rsidP="68AAF936">
      <w:pPr>
        <w:numPr>
          <w:ilvl w:val="0"/>
          <w:numId w:val="20"/>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Information identifying victims, complainants, and witnesses</w:t>
      </w:r>
    </w:p>
    <w:p w14:paraId="3F55C9C8" w14:textId="77777777" w:rsidR="00DB7F3B" w:rsidRPr="00DB7F3B" w:rsidRDefault="7E4B1A9A" w:rsidP="68AAF936">
      <w:pPr>
        <w:numPr>
          <w:ilvl w:val="0"/>
          <w:numId w:val="20"/>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Whistleblower identities</w:t>
      </w:r>
    </w:p>
    <w:p w14:paraId="592AC9C8" w14:textId="77777777" w:rsidR="00DB7F3B" w:rsidRPr="00DB7F3B" w:rsidRDefault="7E4B1A9A" w:rsidP="68AAF936">
      <w:pPr>
        <w:numPr>
          <w:ilvl w:val="0"/>
          <w:numId w:val="20"/>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Privileged legal advice: case reviews prepared for the purpose of obtaining legal advice or in anticipation of legal risk may be considered privileged</w:t>
      </w:r>
    </w:p>
    <w:p w14:paraId="598BEC79" w14:textId="77777777" w:rsidR="00DB7F3B" w:rsidRPr="00DB7F3B" w:rsidRDefault="7E4B1A9A" w:rsidP="68AAF936">
      <w:pPr>
        <w:numPr>
          <w:ilvl w:val="0"/>
          <w:numId w:val="20"/>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Live case information, except when risk-assessed learning needs to be shared due to an immediate or urgent safety</w:t>
      </w:r>
      <w:r w:rsidRPr="68AAF936" w:rsidDel="00EC0BAD">
        <w:rPr>
          <w:rFonts w:eastAsia="Arial" w:cs="Arial"/>
          <w:kern w:val="2"/>
          <w14:ligatures w14:val="standardContextual"/>
        </w:rPr>
        <w:t xml:space="preserve"> </w:t>
      </w:r>
      <w:r w:rsidRPr="68AAF936">
        <w:rPr>
          <w:rFonts w:eastAsia="Arial" w:cs="Arial"/>
          <w:kern w:val="2"/>
          <w14:ligatures w14:val="standardContextual"/>
        </w:rPr>
        <w:t>need</w:t>
      </w:r>
    </w:p>
    <w:p w14:paraId="67FBD098" w14:textId="77777777" w:rsidR="00DB7F3B" w:rsidRPr="00DB7F3B" w:rsidRDefault="7E4B1A9A" w:rsidP="68AAF936">
      <w:pPr>
        <w:numPr>
          <w:ilvl w:val="0"/>
          <w:numId w:val="20"/>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Outcomes that could prejudice appeals, any actions at employment tribunal or any external investigations or proceedings</w:t>
      </w:r>
    </w:p>
    <w:p w14:paraId="427E53F9" w14:textId="77777777" w:rsidR="00DB7F3B" w:rsidRPr="00DB7F3B" w:rsidRDefault="00DB7F3B" w:rsidP="68AAF936">
      <w:pPr>
        <w:spacing w:after="160" w:line="278" w:lineRule="auto"/>
        <w:rPr>
          <w:rFonts w:eastAsia="Arial" w:cs="Arial"/>
          <w:kern w:val="2"/>
          <w14:ligatures w14:val="standardContextual"/>
        </w:rPr>
      </w:pPr>
    </w:p>
    <w:p w14:paraId="036861DC" w14:textId="77777777" w:rsidR="00DB7F3B" w:rsidRPr="00DB7F3B" w:rsidRDefault="7E4B1A9A" w:rsidP="68AAF936">
      <w:pPr>
        <w:spacing w:after="160" w:line="278" w:lineRule="auto"/>
        <w:rPr>
          <w:rFonts w:eastAsia="Arial" w:cs="Arial"/>
          <w:kern w:val="2"/>
          <w14:ligatures w14:val="standardContextual"/>
        </w:rPr>
      </w:pPr>
      <w:r w:rsidRPr="68AAF936">
        <w:rPr>
          <w:rFonts w:eastAsia="Arial" w:cs="Arial"/>
          <w:kern w:val="2"/>
          <w14:ligatures w14:val="standardContextual"/>
        </w:rPr>
        <w:t>A service may consider the following checklist to support sharing learning safely:</w:t>
      </w:r>
    </w:p>
    <w:p w14:paraId="567EE5B3" w14:textId="77777777" w:rsidR="00DB7F3B" w:rsidRPr="00DB7F3B" w:rsidRDefault="7E4B1A9A" w:rsidP="68AAF936">
      <w:pPr>
        <w:numPr>
          <w:ilvl w:val="0"/>
          <w:numId w:val="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The learning has been anonymised to ensure that both the case or cases the learning came from and the individuals involved are not identifiable to the audience who would receive the learning</w:t>
      </w:r>
    </w:p>
    <w:p w14:paraId="5D3EE761" w14:textId="77777777" w:rsidR="00DB7F3B" w:rsidRPr="00DB7F3B" w:rsidRDefault="7E4B1A9A" w:rsidP="68AAF936">
      <w:pPr>
        <w:numPr>
          <w:ilvl w:val="0"/>
          <w:numId w:val="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The two-stage identifiability test has been completed</w:t>
      </w:r>
    </w:p>
    <w:p w14:paraId="513F6EE5" w14:textId="77777777" w:rsidR="00DB7F3B" w:rsidRPr="00DB7F3B" w:rsidRDefault="7E4B1A9A" w:rsidP="68AAF936">
      <w:pPr>
        <w:numPr>
          <w:ilvl w:val="0"/>
          <w:numId w:val="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Any disciplinary processes, internal appeal period, and </w:t>
      </w:r>
      <w:hyperlink r:id="rId46" w:history="1">
        <w:r w:rsidRPr="68AAF936">
          <w:rPr>
            <w:rFonts w:eastAsia="Arial" w:cs="Arial"/>
            <w:color w:val="467886"/>
            <w:kern w:val="2"/>
            <w:u w:val="single"/>
            <w14:ligatures w14:val="standardContextual"/>
          </w:rPr>
          <w:t>the period for presenting an employment tribunal claim</w:t>
        </w:r>
      </w:hyperlink>
      <w:r w:rsidRPr="68AAF936">
        <w:rPr>
          <w:rFonts w:eastAsia="Arial" w:cs="Arial"/>
          <w:kern w:val="2"/>
          <w14:ligatures w14:val="standardContextual"/>
        </w:rPr>
        <w:t xml:space="preserve"> have ended</w:t>
      </w:r>
    </w:p>
    <w:p w14:paraId="098E2E4C" w14:textId="77777777" w:rsidR="00DB7F3B" w:rsidRPr="00DB7F3B" w:rsidRDefault="7E4B1A9A" w:rsidP="68AAF936">
      <w:pPr>
        <w:numPr>
          <w:ilvl w:val="0"/>
          <w:numId w:val="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If the case is still open at the point learning is shared, legal advice has been taken</w:t>
      </w:r>
    </w:p>
    <w:p w14:paraId="2E92CAB0" w14:textId="77777777" w:rsidR="00DB7F3B" w:rsidRPr="00DB7F3B" w:rsidRDefault="7E4B1A9A" w:rsidP="68AAF936">
      <w:pPr>
        <w:numPr>
          <w:ilvl w:val="0"/>
          <w:numId w:val="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If the case involved the police, criminal allegations, or LADO referrals, the relevant authorities have authorised the sharing of the case learning</w:t>
      </w:r>
    </w:p>
    <w:p w14:paraId="50769ACD" w14:textId="77777777" w:rsidR="00DB7F3B" w:rsidRPr="00DB7F3B" w:rsidRDefault="7E4B1A9A" w:rsidP="68AAF936">
      <w:pPr>
        <w:numPr>
          <w:ilvl w:val="0"/>
          <w:numId w:val="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The learning outcomes identify and highlight the specific lessons, and any details that are not needed to convey that lesson have been removed</w:t>
      </w:r>
    </w:p>
    <w:p w14:paraId="711D94A5" w14:textId="77777777" w:rsidR="00DB7F3B" w:rsidRPr="00DB7F3B" w:rsidRDefault="7E4B1A9A" w:rsidP="68AAF936">
      <w:pPr>
        <w:numPr>
          <w:ilvl w:val="0"/>
          <w:numId w:val="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The decision to share the learning has been recorded in an auditable action log</w:t>
      </w:r>
    </w:p>
    <w:p w14:paraId="16DC668B" w14:textId="77777777" w:rsidR="00DB7F3B" w:rsidRPr="00DB7F3B" w:rsidRDefault="7E4B1A9A" w:rsidP="68AAF936">
      <w:pPr>
        <w:numPr>
          <w:ilvl w:val="0"/>
          <w:numId w:val="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The facts of the case have been verified, and all references to findings should be linked to a process that has been completed</w:t>
      </w:r>
    </w:p>
    <w:p w14:paraId="2056ABDA" w14:textId="77777777" w:rsidR="00DB7F3B" w:rsidRPr="00DB7F3B" w:rsidRDefault="7E4B1A9A" w:rsidP="68AAF936">
      <w:pPr>
        <w:numPr>
          <w:ilvl w:val="0"/>
          <w:numId w:val="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Any team involved has been given an opportunity to comment on the factual accuracy of the learning before wider circulation. This is good practice and supports accuracy, trust, confidence, while reducing the risk of grievances</w:t>
      </w:r>
    </w:p>
    <w:p w14:paraId="380B9D5E" w14:textId="77777777" w:rsidR="00DB7F3B" w:rsidRPr="00DB7F3B" w:rsidRDefault="7E4B1A9A" w:rsidP="68AAF936">
      <w:pPr>
        <w:numPr>
          <w:ilvl w:val="0"/>
          <w:numId w:val="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For higher-risk learning, sign-off has been sought from the service’s professional standards lead and the data protection officer, and communications teams have been informed</w:t>
      </w:r>
    </w:p>
    <w:p w14:paraId="30A0EA74" w14:textId="77777777" w:rsidR="00DB7F3B" w:rsidRPr="00DB7F3B" w:rsidRDefault="7E4B1A9A" w:rsidP="68AAF936">
      <w:pPr>
        <w:numPr>
          <w:ilvl w:val="0"/>
          <w:numId w:val="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For all learning, your internal governance or approval process has been followed to seek permission to share (internally or externally) and the relevant senior colleague has given authorisation</w:t>
      </w:r>
    </w:p>
    <w:p w14:paraId="284F2CAC" w14:textId="77777777" w:rsidR="00DB7F3B" w:rsidRPr="00DB7F3B" w:rsidRDefault="7E4B1A9A" w:rsidP="68AAF936">
      <w:pPr>
        <w:numPr>
          <w:ilvl w:val="0"/>
          <w:numId w:val="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None of the information shared in a learning outcome is identifiable or is a topic listed in the ‘Safe sharing checklist’ section</w:t>
      </w:r>
    </w:p>
    <w:p w14:paraId="007195BC" w14:textId="77777777" w:rsidR="00DB7F3B" w:rsidRPr="00DB7F3B" w:rsidRDefault="7E4B1A9A" w:rsidP="68AAF936">
      <w:pPr>
        <w:numPr>
          <w:ilvl w:val="0"/>
          <w:numId w:val="4"/>
        </w:numPr>
        <w:spacing w:after="160" w:line="278" w:lineRule="auto"/>
        <w:contextualSpacing/>
        <w:rPr>
          <w:rFonts w:eastAsia="Arial" w:cs="Arial"/>
          <w:kern w:val="2"/>
          <w14:ligatures w14:val="standardContextual"/>
        </w:rPr>
      </w:pPr>
      <w:r w:rsidRPr="68AAF936">
        <w:rPr>
          <w:rFonts w:eastAsia="Arial" w:cs="Arial"/>
          <w:kern w:val="2"/>
          <w14:ligatures w14:val="standardContextual"/>
        </w:rPr>
        <w:t xml:space="preserve">Sharing does not conflict with your service’s insurers' requirements or any obligation to report fraud; for example, to police or </w:t>
      </w:r>
      <w:hyperlink r:id="rId47" w:history="1">
        <w:r w:rsidRPr="68AAF936">
          <w:rPr>
            <w:rFonts w:eastAsia="Arial" w:cs="Arial"/>
            <w:color w:val="467886"/>
            <w:kern w:val="2"/>
            <w:u w:val="single"/>
            <w14:ligatures w14:val="standardContextual"/>
          </w:rPr>
          <w:t>Report Fraud</w:t>
        </w:r>
      </w:hyperlink>
    </w:p>
    <w:p w14:paraId="2089F935" w14:textId="77777777" w:rsidR="00DB7F3B" w:rsidRPr="00DB7F3B" w:rsidRDefault="00DB7F3B" w:rsidP="68AAF936">
      <w:pPr>
        <w:spacing w:after="160" w:line="278" w:lineRule="auto"/>
        <w:rPr>
          <w:rFonts w:eastAsia="Arial" w:cs="Arial"/>
          <w:kern w:val="2"/>
          <w:sz w:val="28"/>
          <w:szCs w:val="28"/>
          <w14:ligatures w14:val="standardContextual"/>
        </w:rPr>
      </w:pPr>
    </w:p>
    <w:p w14:paraId="682A2AAA" w14:textId="77777777" w:rsidR="00DB7F3B" w:rsidRPr="00DB7F3B" w:rsidRDefault="7E4B1A9A" w:rsidP="68AAF936">
      <w:pPr>
        <w:pStyle w:val="Heading3"/>
        <w:rPr>
          <w:rFonts w:eastAsia="Arial" w:cs="Arial"/>
        </w:rPr>
      </w:pPr>
      <w:r w:rsidRPr="68AAF936">
        <w:rPr>
          <w:rFonts w:eastAsia="Arial" w:cs="Arial"/>
          <w:sz w:val="28"/>
          <w:szCs w:val="28"/>
        </w:rPr>
        <w:t>8.2 Sharing learning with NFCC or other UK fire and rescue services</w:t>
      </w:r>
      <w:r w:rsidRPr="68AAF936">
        <w:rPr>
          <w:rFonts w:eastAsia="Arial" w:cs="Arial"/>
        </w:rPr>
        <w:t xml:space="preserve"> </w:t>
      </w:r>
    </w:p>
    <w:p w14:paraId="34B39AE1"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kern w:val="2"/>
          <w14:ligatures w14:val="standardContextual"/>
        </w:rPr>
        <w:t>When sharing learning with third parties, services should anonymise the learning from its cases and use the two-step identifiability test. Consider if any data sharing agreements or data processing agreements need to be put in place, or if any existing agreements need to be updated.</w:t>
      </w:r>
    </w:p>
    <w:p w14:paraId="69498719" w14:textId="77777777" w:rsidR="00DB7F3B" w:rsidRPr="00DB7F3B" w:rsidRDefault="00DB7F3B" w:rsidP="68AAF936">
      <w:pPr>
        <w:spacing w:after="0" w:line="278" w:lineRule="auto"/>
        <w:rPr>
          <w:rFonts w:eastAsia="Arial" w:cs="Arial"/>
          <w:kern w:val="2"/>
          <w14:ligatures w14:val="standardContextual"/>
        </w:rPr>
      </w:pPr>
    </w:p>
    <w:p w14:paraId="44D0B05C"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b/>
          <w:bCs/>
          <w:kern w:val="2"/>
          <w14:ligatures w14:val="standardContextual"/>
        </w:rPr>
        <w:t>Example</w:t>
      </w:r>
      <w:r w:rsidRPr="68AAF936">
        <w:rPr>
          <w:rFonts w:eastAsia="Arial" w:cs="Arial"/>
          <w:kern w:val="2"/>
          <w14:ligatures w14:val="standardContextual"/>
        </w:rPr>
        <w:t xml:space="preserve">: A service submits learning to </w:t>
      </w:r>
      <w:bookmarkStart w:id="2" w:name="_Int_Po19IVhj"/>
      <w:r w:rsidRPr="68AAF936">
        <w:rPr>
          <w:rFonts w:eastAsia="Arial" w:cs="Arial"/>
          <w:kern w:val="2"/>
          <w14:ligatures w14:val="standardContextual"/>
        </w:rPr>
        <w:t>the</w:t>
      </w:r>
      <w:bookmarkEnd w:id="2"/>
      <w:r w:rsidRPr="68AAF936">
        <w:rPr>
          <w:rFonts w:eastAsia="Arial" w:cs="Arial"/>
          <w:kern w:val="2"/>
          <w14:ligatures w14:val="standardContextual"/>
        </w:rPr>
        <w:t xml:space="preserve"> </w:t>
      </w:r>
      <w:hyperlink r:id="rId48" w:history="1">
        <w:r w:rsidRPr="68AAF936">
          <w:rPr>
            <w:rFonts w:eastAsia="Arial" w:cs="Arial"/>
            <w:color w:val="467886"/>
            <w:kern w:val="2"/>
            <w:u w:val="single"/>
            <w14:ligatures w14:val="standardContextual"/>
          </w:rPr>
          <w:t>NFCC Organisational Learning Tool</w:t>
        </w:r>
      </w:hyperlink>
      <w:r w:rsidRPr="68AAF936">
        <w:rPr>
          <w:rFonts w:eastAsia="Arial" w:cs="Arial"/>
          <w:kern w:val="2"/>
          <w14:ligatures w14:val="standardContextual"/>
        </w:rPr>
        <w:t>. That learning states “investigations into allegations of the misuse of service vehicles took longer than necessary because investigating officers had no access to telematics data guidance.” No names, dates, locations, or sanctions are included. Additionally, through the two-step identifiability test, the service concludes that the information is anonymous to NFCC and the fire and rescue sector if NFCC shared the learning. If the Journal of Organisational Learning asked to publish a case study on the learning, the service could provide a fictionalised scenario drawn from several cases, rather than a specific employee’s case.</w:t>
      </w:r>
    </w:p>
    <w:p w14:paraId="150A90F1" w14:textId="77777777" w:rsidR="00DB7F3B" w:rsidRPr="00DB7F3B" w:rsidRDefault="00DB7F3B" w:rsidP="68AAF936">
      <w:pPr>
        <w:spacing w:after="0" w:line="278" w:lineRule="auto"/>
        <w:rPr>
          <w:rFonts w:eastAsia="Arial" w:cs="Arial"/>
          <w:kern w:val="2"/>
          <w14:ligatures w14:val="standardContextual"/>
        </w:rPr>
      </w:pPr>
    </w:p>
    <w:p w14:paraId="51672705"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kern w:val="2"/>
          <w14:ligatures w14:val="standardContextual"/>
        </w:rPr>
        <w:t xml:space="preserve">When sharing learning with other UK fire and rescue services: </w:t>
      </w:r>
    </w:p>
    <w:p w14:paraId="7D50D0DE" w14:textId="77777777" w:rsidR="00DB7F3B" w:rsidRPr="00DB7F3B" w:rsidRDefault="7E4B1A9A" w:rsidP="68AAF936">
      <w:pPr>
        <w:numPr>
          <w:ilvl w:val="0"/>
          <w:numId w:val="21"/>
        </w:numPr>
        <w:spacing w:after="0" w:line="278" w:lineRule="auto"/>
        <w:contextualSpacing/>
        <w:rPr>
          <w:rFonts w:eastAsia="Arial" w:cs="Arial"/>
          <w:kern w:val="2"/>
          <w14:ligatures w14:val="standardContextual"/>
        </w:rPr>
      </w:pPr>
      <w:r w:rsidRPr="68AAF936">
        <w:rPr>
          <w:rFonts w:eastAsia="Arial" w:cs="Arial"/>
          <w:kern w:val="2"/>
          <w14:ligatures w14:val="standardContextual"/>
        </w:rPr>
        <w:t>care should be taken to ensure that case learning is anonymised</w:t>
      </w:r>
    </w:p>
    <w:p w14:paraId="2069BDA0" w14:textId="77777777" w:rsidR="00DB7F3B" w:rsidRPr="00DB7F3B" w:rsidRDefault="7E4B1A9A" w:rsidP="68AAF936">
      <w:pPr>
        <w:numPr>
          <w:ilvl w:val="0"/>
          <w:numId w:val="21"/>
        </w:numPr>
        <w:spacing w:after="0" w:line="278" w:lineRule="auto"/>
        <w:contextualSpacing/>
        <w:rPr>
          <w:rFonts w:eastAsia="Arial" w:cs="Arial"/>
          <w:kern w:val="2"/>
          <w14:ligatures w14:val="standardContextual"/>
        </w:rPr>
      </w:pPr>
      <w:r w:rsidRPr="68AAF936">
        <w:rPr>
          <w:rFonts w:eastAsia="Arial" w:cs="Arial"/>
          <w:kern w:val="2"/>
          <w14:ligatures w14:val="standardContextual"/>
        </w:rPr>
        <w:t>a two-step identifiability test should be completed</w:t>
      </w:r>
    </w:p>
    <w:p w14:paraId="139C6909" w14:textId="77777777" w:rsidR="00DB7F3B" w:rsidRPr="00DB7F3B" w:rsidRDefault="00DB7F3B" w:rsidP="68AAF936">
      <w:pPr>
        <w:spacing w:after="0" w:line="278" w:lineRule="auto"/>
        <w:rPr>
          <w:rFonts w:eastAsia="Arial" w:cs="Arial"/>
          <w:kern w:val="2"/>
          <w14:ligatures w14:val="standardContextual"/>
        </w:rPr>
      </w:pPr>
    </w:p>
    <w:p w14:paraId="727643CD"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b/>
          <w:bCs/>
          <w:kern w:val="2"/>
          <w14:ligatures w14:val="standardContextual"/>
        </w:rPr>
        <w:t>Example</w:t>
      </w:r>
      <w:r w:rsidRPr="68AAF936">
        <w:rPr>
          <w:rFonts w:eastAsia="Arial" w:cs="Arial"/>
          <w:kern w:val="2"/>
          <w14:ligatures w14:val="standardContextual"/>
        </w:rPr>
        <w:t>: A dismissed employee from Service A has applied for a role with a neighbouring service, Service B. Service A shared a summary of learning at a regional professional standards meeting. It</w:t>
      </w:r>
      <w:r w:rsidRPr="68AAF936" w:rsidDel="00CF3202">
        <w:rPr>
          <w:rFonts w:eastAsia="Arial" w:cs="Arial"/>
          <w:kern w:val="2"/>
          <w14:ligatures w14:val="standardContextual"/>
        </w:rPr>
        <w:t xml:space="preserve"> </w:t>
      </w:r>
      <w:r w:rsidRPr="68AAF936">
        <w:rPr>
          <w:rFonts w:eastAsia="Arial" w:cs="Arial"/>
          <w:kern w:val="2"/>
          <w14:ligatures w14:val="standardContextual"/>
        </w:rPr>
        <w:t>described “a recent dismissal of a crew manager for falsifying training records.” This learning could allow Service B to identify the employee, even though the summary would be anonymous if shared with NFCC. In that setting, the learning should be framed more generally. For example, “weaknesses were found in verifying training records.”</w:t>
      </w:r>
    </w:p>
    <w:p w14:paraId="3E13FEE4" w14:textId="77777777" w:rsidR="00DB7F3B" w:rsidRPr="00DB7F3B" w:rsidRDefault="00DB7F3B" w:rsidP="68AAF936">
      <w:pPr>
        <w:spacing w:after="0" w:line="278" w:lineRule="auto"/>
        <w:rPr>
          <w:rFonts w:eastAsia="Arial" w:cs="Arial"/>
          <w:kern w:val="2"/>
          <w14:ligatures w14:val="standardContextual"/>
        </w:rPr>
      </w:pPr>
    </w:p>
    <w:p w14:paraId="20264E91"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kern w:val="2"/>
          <w14:ligatures w14:val="standardContextual"/>
        </w:rPr>
        <w:t xml:space="preserve">The following approaches could be used to share learning from misconduct cases with other services and NFCC: </w:t>
      </w:r>
    </w:p>
    <w:p w14:paraId="78A0CD11" w14:textId="77777777" w:rsidR="00DB7F3B" w:rsidRPr="00DB7F3B" w:rsidRDefault="00DB7F3B" w:rsidP="68AAF936">
      <w:pPr>
        <w:spacing w:after="0" w:line="278" w:lineRule="auto"/>
        <w:rPr>
          <w:rFonts w:eastAsia="Arial" w:cs="Arial"/>
          <w:kern w:val="2"/>
          <w14:ligatures w14:val="standardContextual"/>
        </w:rPr>
      </w:pPr>
    </w:p>
    <w:p w14:paraId="4BE7EE73" w14:textId="77777777" w:rsidR="00DB7F3B" w:rsidRPr="00DB7F3B" w:rsidRDefault="7E4B1A9A" w:rsidP="68AAF936">
      <w:pPr>
        <w:spacing w:after="0" w:line="278" w:lineRule="auto"/>
        <w:rPr>
          <w:rFonts w:eastAsia="Arial" w:cs="Arial"/>
          <w:b/>
          <w:bCs/>
          <w:color w:val="000000"/>
          <w:kern w:val="2"/>
          <w14:ligatures w14:val="standardContextual"/>
        </w:rPr>
      </w:pPr>
      <w:r w:rsidRPr="68AAF936">
        <w:rPr>
          <w:rFonts w:eastAsia="Arial" w:cs="Arial"/>
          <w:b/>
          <w:bCs/>
          <w:kern w:val="2"/>
          <w14:ligatures w14:val="standardContextual"/>
        </w:rPr>
        <w:t>Through the NFCC Professional Standards and Conduct Leads Network</w:t>
      </w:r>
    </w:p>
    <w:p w14:paraId="1BB39390" w14:textId="77777777" w:rsidR="00DB7F3B" w:rsidRPr="00DB7F3B" w:rsidRDefault="7E4B1A9A" w:rsidP="68AAF936">
      <w:pPr>
        <w:spacing w:after="0" w:line="278" w:lineRule="auto"/>
        <w:rPr>
          <w:rFonts w:eastAsia="Arial" w:cs="Arial"/>
          <w:color w:val="000000"/>
          <w:kern w:val="2"/>
          <w14:ligatures w14:val="standardContextual"/>
        </w:rPr>
      </w:pPr>
      <w:r w:rsidRPr="68AAF936">
        <w:rPr>
          <w:rFonts w:eastAsia="Arial" w:cs="Arial"/>
          <w:color w:val="000000"/>
          <w:kern w:val="2"/>
          <w14:ligatures w14:val="standardContextual"/>
        </w:rPr>
        <w:t>The Professional Standards and Conduct Leads Network was established in June 2025 and brings together senior leaders and representatives from across services in professional standards and conduct areas to connect and collaborate. The network focuses on improving consistency, sharing good practice, and responding to key challenges. The group was established particularly in response to HMICFRS recommendations and expectations around standards of behaviour, culture, and leadership. The group meets on a quarterly basis and consists of up to two representatives for each fire and rescue service.</w:t>
      </w:r>
    </w:p>
    <w:p w14:paraId="5330B05C" w14:textId="77777777" w:rsidR="00DB7F3B" w:rsidRPr="00DB7F3B" w:rsidRDefault="00DB7F3B" w:rsidP="68AAF936">
      <w:pPr>
        <w:spacing w:after="0" w:line="278" w:lineRule="auto"/>
        <w:ind w:left="720"/>
        <w:contextualSpacing/>
        <w:rPr>
          <w:rFonts w:eastAsia="Arial" w:cs="Arial"/>
          <w:color w:val="000000"/>
          <w:kern w:val="2"/>
          <w14:ligatures w14:val="standardContextual"/>
        </w:rPr>
      </w:pPr>
    </w:p>
    <w:p w14:paraId="0DEAAA58" w14:textId="77777777" w:rsidR="00DB7F3B" w:rsidRPr="00DB7F3B" w:rsidRDefault="7E4B1A9A" w:rsidP="68AAF936">
      <w:pPr>
        <w:spacing w:after="0" w:line="278" w:lineRule="auto"/>
        <w:rPr>
          <w:rFonts w:eastAsia="Arial" w:cs="Arial"/>
          <w:b/>
          <w:bCs/>
          <w:kern w:val="2"/>
          <w14:ligatures w14:val="standardContextual"/>
        </w:rPr>
      </w:pPr>
      <w:r w:rsidRPr="68AAF936">
        <w:rPr>
          <w:rFonts w:eastAsia="Arial" w:cs="Arial"/>
          <w:b/>
          <w:bCs/>
          <w:kern w:val="2"/>
          <w14:ligatures w14:val="standardContextual"/>
        </w:rPr>
        <w:t>Using the NFCC Organisational Learning Tool</w:t>
      </w:r>
    </w:p>
    <w:p w14:paraId="7E959B2D"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kern w:val="2"/>
          <w14:ligatures w14:val="standardContextual"/>
        </w:rPr>
        <w:t xml:space="preserve">The NFCC Organisational Learning Board supports services by gathering, analysing, and tracking learning across all areas of fire and rescue service activity. The Organisational Learning team at NFCC processes learning through the </w:t>
      </w:r>
      <w:hyperlink r:id="rId49" w:history="1">
        <w:r w:rsidRPr="68AAF936">
          <w:rPr>
            <w:rFonts w:eastAsia="Arial" w:cs="Arial"/>
            <w:color w:val="467886"/>
            <w:kern w:val="2"/>
            <w:u w:val="single"/>
            <w14:ligatures w14:val="standardContextual"/>
          </w:rPr>
          <w:t>Organisational Learning Tool</w:t>
        </w:r>
      </w:hyperlink>
      <w:r w:rsidRPr="68AAF936">
        <w:rPr>
          <w:rFonts w:eastAsia="Arial" w:cs="Arial"/>
          <w:kern w:val="2"/>
          <w14:ligatures w14:val="standardContextual"/>
        </w:rPr>
        <w:t xml:space="preserve">. To submit learning through the tool, a service should contact its Organisational Learning single point of contact (SPOC) who can log it into the tool. Please note that access to the tool is restricted to specific users, and all submissions should go through a service’s SPOC. If a service does not know who its SPOC is, or a service requires any further information, please email the Organisational Learning team at </w:t>
      </w:r>
      <w:hyperlink r:id="rId50" w:history="1">
        <w:r w:rsidRPr="68AAF936">
          <w:rPr>
            <w:rFonts w:eastAsia="Arial" w:cs="Arial"/>
            <w:color w:val="467886"/>
            <w:kern w:val="2"/>
            <w:u w:val="single"/>
            <w14:ligatures w14:val="standardContextual"/>
          </w:rPr>
          <w:t>OrganisationalLearning@nfcc.org.uk</w:t>
        </w:r>
      </w:hyperlink>
      <w:r w:rsidRPr="68AAF936">
        <w:rPr>
          <w:rFonts w:eastAsia="Arial" w:cs="Arial"/>
          <w:kern w:val="2"/>
          <w14:ligatures w14:val="standardContextual"/>
        </w:rPr>
        <w:t>.</w:t>
      </w:r>
    </w:p>
    <w:p w14:paraId="4C6F09CE" w14:textId="77777777" w:rsidR="00DB7F3B" w:rsidRPr="00DB7F3B" w:rsidRDefault="00DB7F3B" w:rsidP="68AAF936">
      <w:pPr>
        <w:spacing w:after="0" w:line="278" w:lineRule="auto"/>
        <w:rPr>
          <w:rFonts w:eastAsia="Arial" w:cs="Arial"/>
          <w:kern w:val="2"/>
          <w14:ligatures w14:val="standardContextual"/>
        </w:rPr>
      </w:pPr>
    </w:p>
    <w:p w14:paraId="5AD7F26F" w14:textId="77777777" w:rsidR="00DB7F3B" w:rsidRPr="00DB7F3B" w:rsidRDefault="7E4B1A9A" w:rsidP="68AAF936">
      <w:pPr>
        <w:spacing w:after="0" w:line="278" w:lineRule="auto"/>
        <w:rPr>
          <w:rFonts w:eastAsia="Arial" w:cs="Arial"/>
          <w:b/>
          <w:bCs/>
          <w:kern w:val="2"/>
          <w14:ligatures w14:val="standardContextual"/>
        </w:rPr>
      </w:pPr>
      <w:r w:rsidRPr="68AAF936">
        <w:rPr>
          <w:rFonts w:eastAsia="Arial" w:cs="Arial"/>
          <w:b/>
          <w:bCs/>
          <w:kern w:val="2"/>
          <w14:ligatures w14:val="standardContextual"/>
        </w:rPr>
        <w:t xml:space="preserve">Using NFCC Connect </w:t>
      </w:r>
    </w:p>
    <w:p w14:paraId="297C7AEC"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kern w:val="2"/>
          <w14:ligatures w14:val="standardContextual"/>
        </w:rPr>
        <w:t xml:space="preserve">NFCC Connect can be used to collaborate, share knowledge and learning, and connect with fire and rescue service colleagues on topics around misconduct cases. Because posts are public to all members of the group it is posted in, specific case learning should not be shared in this forum. Group moderators will remove any posts containing information that risk breaching confidentiality. Instead, a service may connect with another service who has experience in a topic, and they may arrange a separate conversation where the same data protection rules set out within this guidance would apply. To access NFCC Connect, use the </w:t>
      </w:r>
      <w:hyperlink r:id="rId51" w:history="1">
        <w:r w:rsidRPr="68AAF936">
          <w:rPr>
            <w:rFonts w:eastAsia="Arial" w:cs="Arial"/>
            <w:color w:val="467886"/>
            <w:kern w:val="2"/>
            <w:u w:val="single"/>
            <w14:ligatures w14:val="standardContextual"/>
          </w:rPr>
          <w:t>login page</w:t>
        </w:r>
      </w:hyperlink>
      <w:r w:rsidRPr="68AAF936">
        <w:rPr>
          <w:rFonts w:eastAsia="Arial" w:cs="Arial"/>
          <w:kern w:val="2"/>
          <w14:ligatures w14:val="standardContextual"/>
        </w:rPr>
        <w:t xml:space="preserve"> and enter your NFCC account information. Click Connect on the top right of the screen.</w:t>
      </w:r>
    </w:p>
    <w:p w14:paraId="2784671C" w14:textId="77777777" w:rsidR="00DB7F3B" w:rsidRPr="00DB7F3B" w:rsidRDefault="00DB7F3B" w:rsidP="68AAF936">
      <w:pPr>
        <w:spacing w:after="0" w:line="278" w:lineRule="auto"/>
        <w:rPr>
          <w:rFonts w:eastAsia="Arial" w:cs="Arial"/>
          <w:b/>
          <w:bCs/>
          <w:kern w:val="2"/>
          <w14:ligatures w14:val="standardContextual"/>
        </w:rPr>
      </w:pPr>
    </w:p>
    <w:p w14:paraId="07199961" w14:textId="6414965C" w:rsidR="68AAF936" w:rsidRDefault="68AAF936" w:rsidP="68AAF936">
      <w:pPr>
        <w:spacing w:after="0" w:line="278" w:lineRule="auto"/>
        <w:rPr>
          <w:rFonts w:eastAsia="Arial" w:cs="Arial"/>
          <w:b/>
          <w:bCs/>
        </w:rPr>
      </w:pPr>
    </w:p>
    <w:p w14:paraId="1D745991" w14:textId="77777777" w:rsidR="00DB7F3B" w:rsidRPr="00DB7F3B" w:rsidRDefault="7E4B1A9A" w:rsidP="68AAF936">
      <w:pPr>
        <w:pStyle w:val="Heading3"/>
        <w:rPr>
          <w:rFonts w:eastAsia="Arial" w:cs="Arial"/>
          <w:sz w:val="28"/>
          <w:szCs w:val="28"/>
        </w:rPr>
      </w:pPr>
      <w:r w:rsidRPr="68AAF936">
        <w:rPr>
          <w:rFonts w:eastAsia="Arial" w:cs="Arial"/>
          <w:sz w:val="28"/>
          <w:szCs w:val="28"/>
        </w:rPr>
        <w:t xml:space="preserve">8.3 Sharing learning internally within a service </w:t>
      </w:r>
    </w:p>
    <w:p w14:paraId="139CD297"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kern w:val="2"/>
          <w14:ligatures w14:val="standardContextual"/>
        </w:rPr>
        <w:t>When sharing learning from a misconduct case internally, the channel and method used to share the learning may depend on:</w:t>
      </w:r>
    </w:p>
    <w:p w14:paraId="0247A634" w14:textId="77777777" w:rsidR="00DB7F3B" w:rsidRPr="00DB7F3B" w:rsidRDefault="00DB7F3B" w:rsidP="68AAF936">
      <w:pPr>
        <w:spacing w:after="0" w:line="278" w:lineRule="auto"/>
        <w:rPr>
          <w:rFonts w:eastAsia="Arial" w:cs="Arial"/>
          <w:kern w:val="2"/>
          <w14:ligatures w14:val="standardContextual"/>
        </w:rPr>
      </w:pPr>
    </w:p>
    <w:p w14:paraId="11BFC6FA" w14:textId="77777777" w:rsidR="00DB7F3B" w:rsidRPr="00DB7F3B" w:rsidRDefault="7E4B1A9A" w:rsidP="68AAF936">
      <w:pPr>
        <w:numPr>
          <w:ilvl w:val="0"/>
          <w:numId w:val="22"/>
        </w:numPr>
        <w:spacing w:after="0" w:line="278" w:lineRule="auto"/>
        <w:contextualSpacing/>
        <w:rPr>
          <w:rFonts w:eastAsia="Arial" w:cs="Arial"/>
          <w:kern w:val="2"/>
          <w14:ligatures w14:val="standardContextual"/>
        </w:rPr>
      </w:pPr>
      <w:r w:rsidRPr="68AAF936">
        <w:rPr>
          <w:rFonts w:eastAsia="Arial" w:cs="Arial"/>
          <w:kern w:val="2"/>
          <w14:ligatures w14:val="standardContextual"/>
        </w:rPr>
        <w:t>the</w:t>
      </w:r>
      <w:r w:rsidRPr="68AAF936" w:rsidDel="006516C7">
        <w:rPr>
          <w:rFonts w:eastAsia="Arial" w:cs="Arial"/>
          <w:kern w:val="2"/>
          <w14:ligatures w14:val="standardContextual"/>
        </w:rPr>
        <w:t xml:space="preserve"> </w:t>
      </w:r>
      <w:r w:rsidRPr="68AAF936">
        <w:rPr>
          <w:rFonts w:eastAsia="Arial" w:cs="Arial"/>
          <w:kern w:val="2"/>
          <w14:ligatures w14:val="standardContextual"/>
        </w:rPr>
        <w:t>nature of the case</w:t>
      </w:r>
    </w:p>
    <w:p w14:paraId="05410D23" w14:textId="77777777" w:rsidR="00DB7F3B" w:rsidRPr="00DB7F3B" w:rsidRDefault="7E4B1A9A" w:rsidP="68AAF936">
      <w:pPr>
        <w:numPr>
          <w:ilvl w:val="0"/>
          <w:numId w:val="22"/>
        </w:numPr>
        <w:spacing w:after="0" w:line="278" w:lineRule="auto"/>
        <w:contextualSpacing/>
        <w:rPr>
          <w:rFonts w:eastAsia="Arial" w:cs="Arial"/>
          <w:kern w:val="2"/>
          <w14:ligatures w14:val="standardContextual"/>
        </w:rPr>
      </w:pPr>
      <w:r w:rsidRPr="68AAF936">
        <w:rPr>
          <w:rFonts w:eastAsia="Arial" w:cs="Arial"/>
          <w:kern w:val="2"/>
          <w14:ligatures w14:val="standardContextual"/>
        </w:rPr>
        <w:t>the nature of the learning identified</w:t>
      </w:r>
    </w:p>
    <w:p w14:paraId="2BA1B78E" w14:textId="77777777" w:rsidR="00DB7F3B" w:rsidRPr="00DB7F3B" w:rsidRDefault="7E4B1A9A" w:rsidP="68AAF936">
      <w:pPr>
        <w:numPr>
          <w:ilvl w:val="0"/>
          <w:numId w:val="22"/>
        </w:numPr>
        <w:spacing w:after="0" w:line="278" w:lineRule="auto"/>
        <w:contextualSpacing/>
        <w:rPr>
          <w:rFonts w:eastAsia="Arial" w:cs="Arial"/>
          <w:kern w:val="2"/>
          <w14:ligatures w14:val="standardContextual"/>
        </w:rPr>
      </w:pPr>
      <w:r w:rsidRPr="68AAF936">
        <w:rPr>
          <w:rFonts w:eastAsia="Arial" w:cs="Arial"/>
          <w:kern w:val="2"/>
          <w14:ligatures w14:val="standardContextual"/>
        </w:rPr>
        <w:t>what stage of the case the learning was identified in</w:t>
      </w:r>
    </w:p>
    <w:p w14:paraId="760B9322" w14:textId="77777777" w:rsidR="00DB7F3B" w:rsidRPr="00DB7F3B" w:rsidRDefault="7E4B1A9A" w:rsidP="68AAF936">
      <w:pPr>
        <w:numPr>
          <w:ilvl w:val="0"/>
          <w:numId w:val="22"/>
        </w:numPr>
        <w:spacing w:after="0" w:line="278" w:lineRule="auto"/>
        <w:contextualSpacing/>
        <w:rPr>
          <w:rFonts w:eastAsia="Arial" w:cs="Arial"/>
          <w:kern w:val="2"/>
          <w14:ligatures w14:val="standardContextual"/>
        </w:rPr>
      </w:pPr>
      <w:r w:rsidRPr="68AAF936">
        <w:rPr>
          <w:rFonts w:eastAsia="Arial" w:cs="Arial"/>
          <w:kern w:val="2"/>
          <w14:ligatures w14:val="standardContextual"/>
        </w:rPr>
        <w:t>the learning’s necessary audience</w:t>
      </w:r>
    </w:p>
    <w:p w14:paraId="3518634F" w14:textId="77777777" w:rsidR="00DB7F3B" w:rsidRPr="00DB7F3B" w:rsidRDefault="00DB7F3B" w:rsidP="68AAF936">
      <w:pPr>
        <w:spacing w:after="0" w:line="278" w:lineRule="auto"/>
        <w:rPr>
          <w:rFonts w:eastAsia="Arial" w:cs="Arial"/>
          <w:kern w:val="2"/>
          <w14:ligatures w14:val="standardContextual"/>
        </w:rPr>
      </w:pPr>
    </w:p>
    <w:p w14:paraId="03A68D2B"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kern w:val="2"/>
          <w14:ligatures w14:val="standardContextual"/>
        </w:rPr>
        <w:t xml:space="preserve">As with any sharing of misconduct learning, confidentiality and sensitivity should be considered as a priority from the outset. Anonymising the case can be much more difficult when internal managers and teams are aware of the alleged incident or know those involved. This could negatively affect the wellbeing those involved and trust in the confidentiality of case management. To mitigate this risk, only the core learning should be extracted, the two-step identification test should be completed, and all identifiable case detail should be removed. </w:t>
      </w:r>
    </w:p>
    <w:p w14:paraId="27825854" w14:textId="77777777" w:rsidR="00DB7F3B" w:rsidRPr="00DB7F3B" w:rsidRDefault="00DB7F3B" w:rsidP="68AAF936">
      <w:pPr>
        <w:spacing w:after="0" w:line="278" w:lineRule="auto"/>
        <w:rPr>
          <w:rFonts w:eastAsia="Arial" w:cs="Arial"/>
          <w:kern w:val="2"/>
          <w14:ligatures w14:val="standardContextual"/>
        </w:rPr>
      </w:pPr>
    </w:p>
    <w:p w14:paraId="4E8360B6"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kern w:val="2"/>
          <w14:ligatures w14:val="standardContextual"/>
        </w:rPr>
        <w:t xml:space="preserve">Data protection law also applies when misconduct learning is discussed between a service’s professional standards team and relevant management teams. Case detail should only ever be discussed on a need-to-know basis, and care should be taken to minimise the personal data that is shared if the information cannot by anonymised. </w:t>
      </w:r>
    </w:p>
    <w:p w14:paraId="212209ED" w14:textId="77777777" w:rsidR="00DB7F3B" w:rsidRPr="00DB7F3B" w:rsidRDefault="00DB7F3B" w:rsidP="68AAF936">
      <w:pPr>
        <w:spacing w:after="0" w:line="278" w:lineRule="auto"/>
        <w:rPr>
          <w:rFonts w:eastAsia="Arial" w:cs="Arial"/>
          <w:kern w:val="2"/>
          <w14:ligatures w14:val="standardContextual"/>
        </w:rPr>
      </w:pPr>
    </w:p>
    <w:p w14:paraId="31E37A7A" w14:textId="77777777" w:rsidR="00DB7F3B" w:rsidRPr="00DB7F3B" w:rsidRDefault="00DB7F3B" w:rsidP="68AAF936">
      <w:pPr>
        <w:spacing w:after="0" w:line="278" w:lineRule="auto"/>
        <w:rPr>
          <w:rFonts w:eastAsia="Arial" w:cs="Arial"/>
          <w:kern w:val="2"/>
          <w14:ligatures w14:val="standardContextual"/>
        </w:rPr>
      </w:pPr>
    </w:p>
    <w:p w14:paraId="7EDE68B1"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b/>
          <w:bCs/>
          <w:kern w:val="2"/>
          <w14:ligatures w14:val="standardContextual"/>
        </w:rPr>
        <w:t xml:space="preserve">Example: </w:t>
      </w:r>
      <w:r w:rsidRPr="68AAF936">
        <w:rPr>
          <w:rFonts w:eastAsia="Arial" w:cs="Arial"/>
          <w:kern w:val="2"/>
          <w14:ligatures w14:val="standardContextual"/>
        </w:rPr>
        <w:t xml:space="preserve">Learning was identified after an investigation into an employee’s misconduct and their dismissal that followed. The learning was that the station’s supervision arrangements for night shifts did not operate as intended. The service could share this learning with their employees through framing the output around the actions the service plans to take because of the learning. For example, “we have updated our night-shift supervision procedure following a review.” This still shows the learning is being implemented, without referring to the employees involved or the disciplinary case.  </w:t>
      </w:r>
    </w:p>
    <w:p w14:paraId="35634E5B" w14:textId="77777777" w:rsidR="00DB7F3B" w:rsidRPr="00DB7F3B" w:rsidRDefault="00DB7F3B" w:rsidP="68AAF936">
      <w:pPr>
        <w:spacing w:after="0" w:line="278" w:lineRule="auto"/>
        <w:rPr>
          <w:rFonts w:eastAsia="Arial" w:cs="Arial"/>
          <w:kern w:val="2"/>
          <w14:ligatures w14:val="standardContextual"/>
        </w:rPr>
      </w:pPr>
    </w:p>
    <w:p w14:paraId="3DC1BCDF"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kern w:val="2"/>
          <w14:ligatures w14:val="standardContextual"/>
        </w:rPr>
        <w:t>A service may consider the following approaches when sharing learning internally:</w:t>
      </w:r>
    </w:p>
    <w:p w14:paraId="4C77793F" w14:textId="77777777" w:rsidR="00DB7F3B" w:rsidRPr="00DB7F3B" w:rsidRDefault="00DB7F3B" w:rsidP="68AAF936">
      <w:pPr>
        <w:spacing w:after="0" w:line="278" w:lineRule="auto"/>
        <w:rPr>
          <w:rFonts w:eastAsia="Arial" w:cs="Arial"/>
          <w:kern w:val="2"/>
          <w14:ligatures w14:val="standardContextual"/>
        </w:rPr>
      </w:pPr>
    </w:p>
    <w:p w14:paraId="1E73559B" w14:textId="77777777" w:rsidR="00DB7F3B" w:rsidRPr="00DB7F3B" w:rsidRDefault="7E4B1A9A" w:rsidP="68AAF936">
      <w:pPr>
        <w:spacing w:after="0" w:line="278" w:lineRule="auto"/>
        <w:rPr>
          <w:rFonts w:eastAsia="Arial" w:cs="Arial"/>
          <w:b/>
          <w:bCs/>
          <w:kern w:val="2"/>
          <w14:ligatures w14:val="standardContextual"/>
        </w:rPr>
      </w:pPr>
      <w:r w:rsidRPr="68AAF936">
        <w:rPr>
          <w:rFonts w:eastAsia="Arial" w:cs="Arial"/>
          <w:b/>
          <w:bCs/>
          <w:kern w:val="2"/>
          <w14:ligatures w14:val="standardContextual"/>
        </w:rPr>
        <w:t>Post-case reviews and debriefs</w:t>
      </w:r>
    </w:p>
    <w:p w14:paraId="49A7EE7B"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kern w:val="2"/>
          <w14:ligatures w14:val="standardContextual"/>
        </w:rPr>
        <w:t xml:space="preserve">A case management team is a team involved in the formal management of a conduct case. The team could include: </w:t>
      </w:r>
    </w:p>
    <w:p w14:paraId="4A74AFFC" w14:textId="77777777" w:rsidR="00DB7F3B" w:rsidRPr="00DB7F3B" w:rsidRDefault="7E4B1A9A" w:rsidP="68AAF936">
      <w:pPr>
        <w:numPr>
          <w:ilvl w:val="0"/>
          <w:numId w:val="23"/>
        </w:numPr>
        <w:spacing w:after="0" w:line="278" w:lineRule="auto"/>
        <w:contextualSpacing/>
        <w:rPr>
          <w:rFonts w:eastAsia="Arial" w:cs="Arial"/>
          <w:kern w:val="2"/>
          <w14:ligatures w14:val="standardContextual"/>
        </w:rPr>
      </w:pPr>
      <w:r w:rsidRPr="68AAF936">
        <w:rPr>
          <w:rFonts w:eastAsia="Arial" w:cs="Arial"/>
          <w:kern w:val="2"/>
          <w14:ligatures w14:val="standardContextual"/>
        </w:rPr>
        <w:t>a case or commissioning manager</w:t>
      </w:r>
    </w:p>
    <w:p w14:paraId="79904570" w14:textId="77777777" w:rsidR="00DB7F3B" w:rsidRPr="00DB7F3B" w:rsidRDefault="7E4B1A9A" w:rsidP="68AAF936">
      <w:pPr>
        <w:numPr>
          <w:ilvl w:val="0"/>
          <w:numId w:val="23"/>
        </w:numPr>
        <w:spacing w:after="0" w:line="278" w:lineRule="auto"/>
        <w:contextualSpacing/>
        <w:rPr>
          <w:rFonts w:eastAsia="Arial" w:cs="Arial"/>
          <w:kern w:val="2"/>
          <w14:ligatures w14:val="standardContextual"/>
        </w:rPr>
      </w:pPr>
      <w:r w:rsidRPr="68AAF936">
        <w:rPr>
          <w:rFonts w:eastAsia="Arial" w:cs="Arial"/>
          <w:kern w:val="2"/>
          <w14:ligatures w14:val="standardContextual"/>
        </w:rPr>
        <w:t>an investigating officer</w:t>
      </w:r>
    </w:p>
    <w:p w14:paraId="2EC4D34C" w14:textId="77777777" w:rsidR="00DB7F3B" w:rsidRPr="00DB7F3B" w:rsidRDefault="7E4B1A9A" w:rsidP="68AAF936">
      <w:pPr>
        <w:numPr>
          <w:ilvl w:val="0"/>
          <w:numId w:val="23"/>
        </w:numPr>
        <w:spacing w:after="0" w:line="278" w:lineRule="auto"/>
        <w:contextualSpacing/>
        <w:rPr>
          <w:rFonts w:eastAsia="Arial" w:cs="Arial"/>
          <w:kern w:val="2"/>
          <w14:ligatures w14:val="standardContextual"/>
        </w:rPr>
      </w:pPr>
      <w:r w:rsidRPr="68AAF936">
        <w:rPr>
          <w:rFonts w:eastAsia="Arial" w:cs="Arial"/>
          <w:kern w:val="2"/>
          <w14:ligatures w14:val="standardContextual"/>
        </w:rPr>
        <w:t>an HR support to the case</w:t>
      </w:r>
    </w:p>
    <w:p w14:paraId="4FEADCF4" w14:textId="77777777" w:rsidR="00DB7F3B" w:rsidRPr="00DB7F3B" w:rsidRDefault="00DB7F3B" w:rsidP="68AAF936">
      <w:pPr>
        <w:spacing w:after="0" w:line="278" w:lineRule="auto"/>
        <w:rPr>
          <w:rFonts w:eastAsia="Arial" w:cs="Arial"/>
          <w:kern w:val="2"/>
          <w14:ligatures w14:val="standardContextual"/>
        </w:rPr>
      </w:pPr>
    </w:p>
    <w:p w14:paraId="002B6E63"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kern w:val="2"/>
          <w14:ligatures w14:val="standardContextual"/>
        </w:rPr>
        <w:t>A case management team could convene for a case debrief when a case concludes. A debrief can encourage those involved to reflect on practice, discuss any feedback that needs to be shared more widely, and note any learning that can be shared. If in a debrief, there are plans to share the learning identified, either internally or externally, the lead of the review should tell members of the case management team prior to the meeting. The lead of the review should be clear on the purpose and impacts of sharing the learning more widely.</w:t>
      </w:r>
    </w:p>
    <w:p w14:paraId="1D36751A" w14:textId="77777777" w:rsidR="00DB7F3B" w:rsidRPr="00DB7F3B" w:rsidRDefault="00DB7F3B" w:rsidP="68AAF936">
      <w:pPr>
        <w:spacing w:after="0" w:line="278" w:lineRule="auto"/>
        <w:rPr>
          <w:rFonts w:eastAsia="Arial" w:cs="Arial"/>
          <w:kern w:val="2"/>
          <w14:ligatures w14:val="standardContextual"/>
        </w:rPr>
      </w:pPr>
    </w:p>
    <w:p w14:paraId="4D373592" w14:textId="77777777" w:rsidR="00DB7F3B" w:rsidRPr="00DB7F3B" w:rsidRDefault="7E4B1A9A" w:rsidP="68AAF936">
      <w:pPr>
        <w:spacing w:after="0" w:line="278" w:lineRule="auto"/>
        <w:rPr>
          <w:rFonts w:eastAsia="Arial" w:cs="Arial"/>
          <w:b/>
          <w:bCs/>
          <w:kern w:val="2"/>
          <w14:ligatures w14:val="standardContextual"/>
        </w:rPr>
      </w:pPr>
      <w:r w:rsidRPr="68AAF936">
        <w:rPr>
          <w:rFonts w:eastAsia="Arial" w:cs="Arial"/>
          <w:b/>
          <w:bCs/>
          <w:kern w:val="2"/>
          <w14:ligatures w14:val="standardContextual"/>
        </w:rPr>
        <w:t>Developing training and guidance</w:t>
      </w:r>
    </w:p>
    <w:p w14:paraId="5A0F0312"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kern w:val="2"/>
          <w14:ligatures w14:val="standardContextual"/>
        </w:rPr>
        <w:t>Reflecting on case management can sometimes help to identify training needs, both for professional standards colleagues and wider colleagues and teams. Sharing a new consideration, process, or piece of good practice through training can help to implement good practice for future case management. Anonymised learning can be effective in building case studies for training materials that are grounded in organisational experience. It is important to consider anonymisation and the audience of any such training to protect the wellbeing of those involved.</w:t>
      </w:r>
    </w:p>
    <w:p w14:paraId="0CF5AC00" w14:textId="77777777" w:rsidR="00DB7F3B" w:rsidRPr="00DB7F3B" w:rsidRDefault="00DB7F3B" w:rsidP="68AAF936">
      <w:pPr>
        <w:spacing w:after="0" w:line="278" w:lineRule="auto"/>
        <w:rPr>
          <w:rFonts w:eastAsia="Arial" w:cs="Arial"/>
          <w:kern w:val="2"/>
          <w14:ligatures w14:val="standardContextual"/>
        </w:rPr>
      </w:pPr>
    </w:p>
    <w:p w14:paraId="47D4230A" w14:textId="77777777" w:rsidR="00DB7F3B" w:rsidRPr="00DB7F3B" w:rsidRDefault="7E4B1A9A" w:rsidP="68AAF936">
      <w:pPr>
        <w:spacing w:after="0" w:line="278" w:lineRule="auto"/>
        <w:rPr>
          <w:rFonts w:eastAsia="Arial" w:cs="Arial"/>
          <w:b/>
          <w:bCs/>
          <w:kern w:val="2"/>
          <w14:ligatures w14:val="standardContextual"/>
        </w:rPr>
      </w:pPr>
      <w:r w:rsidRPr="68AAF936">
        <w:rPr>
          <w:rFonts w:eastAsia="Arial" w:cs="Arial"/>
          <w:b/>
          <w:bCs/>
          <w:kern w:val="2"/>
          <w14:ligatures w14:val="standardContextual"/>
        </w:rPr>
        <w:t>The affected team</w:t>
      </w:r>
    </w:p>
    <w:p w14:paraId="30510276" w14:textId="77777777" w:rsidR="00DB7F3B" w:rsidRPr="00DB7F3B" w:rsidRDefault="7E4B1A9A" w:rsidP="68AAF936">
      <w:pPr>
        <w:spacing w:after="0" w:line="278" w:lineRule="auto"/>
        <w:rPr>
          <w:rFonts w:eastAsia="Arial" w:cs="Arial"/>
          <w:kern w:val="2"/>
          <w14:ligatures w14:val="standardContextual"/>
        </w:rPr>
      </w:pPr>
      <w:r w:rsidRPr="68AAF936">
        <w:rPr>
          <w:rFonts w:eastAsia="Arial" w:cs="Arial"/>
          <w:kern w:val="2"/>
          <w14:ligatures w14:val="standardContextual"/>
        </w:rPr>
        <w:t>Where appropriate, it may be beneficial for affected teams to host a debrief after a misconduct case closes. Because all or some of those involved may remain in the same team after the case closes, working relationships may need support or intervention to function effectively and maintain wellbeing in the team. Professional standards and Organisational Development practitioners in services may facilitate these debrief sessions. Professional standards and Organisational Development practitioners can also support team managers to lead debriefs that respect the confidentiality of the case details but reset behaviours, define expectations, and set the team culture going forward.</w:t>
      </w:r>
    </w:p>
    <w:p w14:paraId="2ED83BD0" w14:textId="77777777" w:rsidR="00DB7F3B" w:rsidRPr="00DB7F3B" w:rsidRDefault="00DB7F3B" w:rsidP="68AAF936">
      <w:pPr>
        <w:spacing w:after="160" w:line="278" w:lineRule="auto"/>
        <w:rPr>
          <w:rFonts w:eastAsia="Arial" w:cs="Arial"/>
          <w:b/>
          <w:bCs/>
          <w:kern w:val="2"/>
          <w14:ligatures w14:val="standardContextual"/>
        </w:rPr>
      </w:pPr>
    </w:p>
    <w:p w14:paraId="387B7753" w14:textId="77777777" w:rsidR="00DB7F3B" w:rsidRPr="00DB7F3B" w:rsidRDefault="00DB7F3B" w:rsidP="68AAF936">
      <w:pPr>
        <w:spacing w:after="160" w:line="278" w:lineRule="auto"/>
        <w:rPr>
          <w:rFonts w:eastAsia="Arial" w:cs="Arial"/>
          <w:b/>
          <w:bCs/>
          <w:kern w:val="2"/>
          <w14:ligatures w14:val="standardContextual"/>
        </w:rPr>
      </w:pPr>
    </w:p>
    <w:p w14:paraId="739D800B" w14:textId="77777777" w:rsidR="00DB7F3B" w:rsidRPr="00DB7F3B" w:rsidRDefault="7E4B1A9A" w:rsidP="68AAF936">
      <w:pPr>
        <w:pStyle w:val="Heading2"/>
        <w:rPr>
          <w:rFonts w:eastAsia="Arial"/>
        </w:rPr>
      </w:pPr>
      <w:r w:rsidRPr="68AAF936">
        <w:rPr>
          <w:rFonts w:eastAsia="Arial"/>
        </w:rPr>
        <w:t>9. Appendix/References</w:t>
      </w:r>
    </w:p>
    <w:p w14:paraId="3B9D3766" w14:textId="77777777" w:rsidR="00DB7F3B" w:rsidRDefault="7E4B1A9A" w:rsidP="68AAF936">
      <w:pPr>
        <w:spacing w:after="160" w:line="278" w:lineRule="auto"/>
        <w:rPr>
          <w:rFonts w:eastAsia="Arial" w:cs="Arial"/>
        </w:rPr>
      </w:pPr>
      <w:r w:rsidRPr="68AAF936">
        <w:rPr>
          <w:rFonts w:eastAsia="Arial" w:cs="Arial"/>
          <w:kern w:val="2"/>
          <w:highlight w:val="yellow"/>
          <w14:ligatures w14:val="standardContextual"/>
        </w:rPr>
        <w:t>Note: Section to be added post-consultation.</w:t>
      </w:r>
    </w:p>
    <w:sectPr w:rsidR="00DB7F3B" w:rsidSect="001C0B29">
      <w:headerReference w:type="default" r:id="rId52"/>
      <w:footerReference w:type="default" r:id="rId53"/>
      <w:headerReference w:type="first" r:id="rId54"/>
      <w:footerReference w:type="first" r:id="rId55"/>
      <w:pgSz w:w="11900" w:h="16840"/>
      <w:pgMar w:top="1134" w:right="851" w:bottom="1134" w:left="851" w:header="0" w:footer="567" w:gutter="0"/>
      <w:lnNumType w:countBy="1" w:restart="continuous"/>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74E5E" w14:textId="77777777" w:rsidR="00956482" w:rsidRDefault="00956482" w:rsidP="00E850FE">
      <w:r>
        <w:separator/>
      </w:r>
    </w:p>
    <w:p w14:paraId="6006362D" w14:textId="77777777" w:rsidR="00956482" w:rsidRDefault="00956482" w:rsidP="00E850FE"/>
  </w:endnote>
  <w:endnote w:type="continuationSeparator" w:id="0">
    <w:p w14:paraId="21270297" w14:textId="77777777" w:rsidR="00956482" w:rsidRDefault="00956482" w:rsidP="00E850FE">
      <w:r>
        <w:continuationSeparator/>
      </w:r>
    </w:p>
    <w:p w14:paraId="709B26C1" w14:textId="77777777" w:rsidR="00956482" w:rsidRDefault="00956482" w:rsidP="00E850FE"/>
  </w:endnote>
  <w:endnote w:type="continuationNotice" w:id="1">
    <w:p w14:paraId="013D66F9" w14:textId="77777777" w:rsidR="00956482" w:rsidRDefault="00956482" w:rsidP="00E850FE"/>
    <w:p w14:paraId="2BA40D5D" w14:textId="77777777" w:rsidR="00956482" w:rsidRDefault="00956482" w:rsidP="00E850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98C86" w14:textId="55895FB0" w:rsidR="00BB7402" w:rsidRDefault="00C65558" w:rsidP="00497B1B">
    <w:pPr>
      <w:pStyle w:val="Footer"/>
      <w:pBdr>
        <w:top w:val="single" w:sz="4" w:space="1" w:color="auto"/>
      </w:pBdr>
      <w:tabs>
        <w:tab w:val="clear" w:pos="4320"/>
        <w:tab w:val="clear" w:pos="8640"/>
        <w:tab w:val="center" w:pos="4962"/>
        <w:tab w:val="right" w:pos="10065"/>
      </w:tabs>
    </w:pPr>
    <w:r w:rsidRPr="00AB2E51">
      <w:t xml:space="preserve">Page </w:t>
    </w:r>
    <w:r w:rsidRPr="00AB2E51">
      <w:fldChar w:fldCharType="begin"/>
    </w:r>
    <w:r w:rsidRPr="00AB2E51">
      <w:instrText xml:space="preserve"> PAGE </w:instrText>
    </w:r>
    <w:r w:rsidRPr="00AB2E51">
      <w:fldChar w:fldCharType="separate"/>
    </w:r>
    <w:r>
      <w:rPr>
        <w:noProof/>
      </w:rPr>
      <w:t>2</w:t>
    </w:r>
    <w:r w:rsidRPr="00AB2E51">
      <w:fldChar w:fldCharType="end"/>
    </w:r>
    <w:r w:rsidRPr="00AB2E51">
      <w:t xml:space="preserve"> of </w:t>
    </w:r>
    <w:r>
      <w:fldChar w:fldCharType="begin"/>
    </w:r>
    <w:r>
      <w:instrText>NUMPAGES</w:instrText>
    </w:r>
    <w:r>
      <w:fldChar w:fldCharType="separate"/>
    </w:r>
    <w:r>
      <w:rPr>
        <w:noProof/>
      </w:rPr>
      <w:t>2</w:t>
    </w:r>
    <w:r>
      <w:fldChar w:fldCharType="end"/>
    </w:r>
    <w:r w:rsidRPr="00AB2E51">
      <w:tab/>
    </w:r>
    <w:fldSimple w:instr=" FILENAME  \* MERGEFORMAT ">
      <w:r w:rsidR="00D86590">
        <w:rPr>
          <w:noProof/>
        </w:rPr>
        <w:t>Draft</w:t>
      </w:r>
    </w:fldSimple>
    <w:r w:rsidR="00D86590">
      <w:rPr>
        <w:noProof/>
      </w:rPr>
      <w:t xml:space="preserve"> – NFCC Safe Sharing of Misconduct Learning Guidance</w:t>
    </w:r>
    <w:r w:rsidRPr="00AB2E51">
      <w:tab/>
    </w:r>
    <w:r w:rsidR="00DE5F58">
      <w:t xml:space="preserve">October </w:t>
    </w:r>
    <w:r w:rsidR="009E78B7">
      <w:t>2026</w:t>
    </w:r>
    <w:r w:rsidRPr="00AB2E5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DFC5B" w14:textId="6FE4522D" w:rsidR="0080181A" w:rsidRDefault="0080181A" w:rsidP="0080181A">
    <w:pPr>
      <w:pStyle w:val="Footer"/>
      <w:pBdr>
        <w:top w:val="single" w:sz="4" w:space="1" w:color="auto"/>
      </w:pBdr>
      <w:tabs>
        <w:tab w:val="clear" w:pos="4320"/>
        <w:tab w:val="clear" w:pos="8640"/>
        <w:tab w:val="center" w:pos="4962"/>
        <w:tab w:val="right" w:pos="10460"/>
      </w:tabs>
      <w:spacing w:after="120" w:line="240" w:lineRule="auto"/>
    </w:pPr>
    <w:r w:rsidRPr="00AB2E51">
      <w:t xml:space="preserve">Page </w:t>
    </w:r>
    <w:r>
      <w:fldChar w:fldCharType="begin"/>
    </w:r>
    <w:r>
      <w:instrText xml:space="preserve"> PAGE  \* MERGEFORMAT </w:instrText>
    </w:r>
    <w:r>
      <w:fldChar w:fldCharType="separate"/>
    </w:r>
    <w:r>
      <w:t>1</w:t>
    </w:r>
    <w:r>
      <w:fldChar w:fldCharType="end"/>
    </w:r>
    <w:r w:rsidRPr="00AB2E51">
      <w:t xml:space="preserve"> of </w:t>
    </w:r>
    <w:fldSimple w:instr="NUMPAGES  \* MERGEFORMAT">
      <w:r>
        <w:t>1</w:t>
      </w:r>
    </w:fldSimple>
    <w:r w:rsidRPr="00AB2E51">
      <w:tab/>
    </w:r>
    <w:fldSimple w:instr="FILENAME  \* MERGEFORMAT">
      <w:r w:rsidR="00497B1B">
        <w:rPr>
          <w:noProof/>
        </w:rPr>
        <w:t>Draft</w:t>
      </w:r>
    </w:fldSimple>
    <w:r w:rsidR="00F25C2A">
      <w:rPr>
        <w:noProof/>
      </w:rPr>
      <w:t xml:space="preserve"> – </w:t>
    </w:r>
    <w:r w:rsidR="00DB7F3B">
      <w:rPr>
        <w:noProof/>
      </w:rPr>
      <w:t>NFCC Safe Sharing of Misconduct Learning Guidance</w:t>
    </w:r>
    <w:r w:rsidRPr="00AB2E51">
      <w:tab/>
    </w:r>
    <w:r w:rsidR="00723794">
      <w:t xml:space="preserve">October </w:t>
    </w:r>
    <w:r w:rsidR="00F25C2A">
      <w:t>2026</w:t>
    </w:r>
  </w:p>
  <w:p w14:paraId="21473170" w14:textId="77777777" w:rsidR="0080181A" w:rsidRDefault="0080181A" w:rsidP="008A1F88">
    <w:pPr>
      <w:pStyle w:val="Footer"/>
      <w:pBdr>
        <w:top w:val="single" w:sz="4" w:space="1" w:color="auto"/>
      </w:pBdr>
      <w:tabs>
        <w:tab w:val="clear" w:pos="4320"/>
        <w:tab w:val="clear" w:pos="8640"/>
        <w:tab w:val="center" w:pos="4962"/>
        <w:tab w:val="right" w:pos="10460"/>
      </w:tabs>
      <w:spacing w:after="0" w:line="240" w:lineRule="auto"/>
      <w:jc w:val="center"/>
    </w:pPr>
    <w:r>
      <w:t xml:space="preserve">Registered office: National Fire Chiefs Council Limited, </w:t>
    </w:r>
    <w:r w:rsidRPr="00C73BA1">
      <w:t>71-75 Shelton Street, London, United Kingdom, WC2H 9JQ</w:t>
    </w:r>
    <w:r>
      <w:t>.</w:t>
    </w:r>
  </w:p>
  <w:p w14:paraId="5C84AC3F" w14:textId="17F0006D" w:rsidR="00BB7402" w:rsidRPr="0080181A" w:rsidRDefault="0080181A" w:rsidP="008A1F88">
    <w:pPr>
      <w:pStyle w:val="Footer"/>
      <w:pBdr>
        <w:top w:val="single" w:sz="4" w:space="1" w:color="auto"/>
      </w:pBdr>
      <w:tabs>
        <w:tab w:val="clear" w:pos="4320"/>
        <w:tab w:val="clear" w:pos="8640"/>
        <w:tab w:val="center" w:pos="4962"/>
        <w:tab w:val="right" w:pos="10460"/>
      </w:tabs>
      <w:spacing w:after="0" w:line="240" w:lineRule="auto"/>
      <w:jc w:val="center"/>
    </w:pPr>
    <w:r>
      <w:t>Registered in England as Limited Company No 03677186. Registered in England as Charity No. 1074071. VAT Registration No. 902 1954 46.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6F517" w14:textId="77777777" w:rsidR="00956482" w:rsidRDefault="00956482" w:rsidP="00E850FE">
      <w:r>
        <w:separator/>
      </w:r>
    </w:p>
    <w:p w14:paraId="35552A81" w14:textId="77777777" w:rsidR="00956482" w:rsidRDefault="00956482" w:rsidP="00E850FE"/>
  </w:footnote>
  <w:footnote w:type="continuationSeparator" w:id="0">
    <w:p w14:paraId="50C08FC1" w14:textId="77777777" w:rsidR="00956482" w:rsidRDefault="00956482" w:rsidP="00E850FE">
      <w:r>
        <w:continuationSeparator/>
      </w:r>
    </w:p>
    <w:p w14:paraId="0657BFB3" w14:textId="77777777" w:rsidR="00956482" w:rsidRDefault="00956482" w:rsidP="00E850FE"/>
  </w:footnote>
  <w:footnote w:type="continuationNotice" w:id="1">
    <w:p w14:paraId="1B0E229D" w14:textId="77777777" w:rsidR="00956482" w:rsidRDefault="00956482" w:rsidP="00E850FE"/>
    <w:p w14:paraId="0852AAB2" w14:textId="77777777" w:rsidR="00956482" w:rsidRDefault="00956482" w:rsidP="00E850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8D70D" w14:textId="77777777" w:rsidR="00C65558" w:rsidRPr="00723705" w:rsidRDefault="00C65558" w:rsidP="00E850FE">
    <w:pPr>
      <w:pStyle w:val="Header"/>
      <w:rPr>
        <w:vertAlign w:val="subscript"/>
      </w:rPr>
    </w:pPr>
    <w:r>
      <w:rPr>
        <w:vertAlign w:val="subscript"/>
      </w:rPr>
      <w:t xml:space="preserve"> </w:t>
    </w:r>
  </w:p>
  <w:p w14:paraId="73EEE277" w14:textId="77777777" w:rsidR="00BB7402" w:rsidRDefault="00BB7402" w:rsidP="00E850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DE9F3" w14:textId="77777777" w:rsidR="00D54485" w:rsidRDefault="00E850FE" w:rsidP="00E850FE">
    <w:pPr>
      <w:pStyle w:val="Header"/>
    </w:pPr>
    <w:r>
      <w:rPr>
        <w:noProof/>
      </w:rPr>
      <w:drawing>
        <wp:anchor distT="0" distB="0" distL="114300" distR="114300" simplePos="0" relativeHeight="251658240" behindDoc="1" locked="0" layoutInCell="1" allowOverlap="1" wp14:anchorId="717EC006" wp14:editId="269992D4">
          <wp:simplePos x="0" y="0"/>
          <wp:positionH relativeFrom="page">
            <wp:posOffset>0</wp:posOffset>
          </wp:positionH>
          <wp:positionV relativeFrom="paragraph">
            <wp:posOffset>0</wp:posOffset>
          </wp:positionV>
          <wp:extent cx="7560000" cy="1861200"/>
          <wp:effectExtent l="0" t="0" r="3175" b="5715"/>
          <wp:wrapNone/>
          <wp:docPr id="621739857" name="Picture 621739857" descr="A picture containing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picture containing rectangle&#10;&#10;Description automatically generated"/>
                  <pic:cNvPicPr/>
                </pic:nvPicPr>
                <pic:blipFill rotWithShape="1">
                  <a:blip r:embed="rId1"/>
                  <a:srcRect b="16426"/>
                  <a:stretch/>
                </pic:blipFill>
                <pic:spPr bwMode="auto">
                  <a:xfrm>
                    <a:off x="0" y="0"/>
                    <a:ext cx="7560000" cy="1861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E4F028" w14:textId="77777777" w:rsidR="00C65558" w:rsidRPr="008449FB" w:rsidRDefault="00C65558" w:rsidP="00E850FE">
    <w:pPr>
      <w:pStyle w:val="Header"/>
      <w:rPr>
        <w:rFonts w:ascii="Arial" w:hAnsi="Arial" w:cs="Arial"/>
        <w:noProof/>
      </w:rPr>
    </w:pPr>
  </w:p>
  <w:p w14:paraId="03DE296B" w14:textId="77777777" w:rsidR="00BB7402" w:rsidRDefault="00BB7402" w:rsidP="00E850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4877"/>
    <w:multiLevelType w:val="hybridMultilevel"/>
    <w:tmpl w:val="4E5A2F9C"/>
    <w:lvl w:ilvl="0" w:tplc="385A3068">
      <w:start w:val="1"/>
      <w:numFmt w:val="decimal"/>
      <w:lvlText w:val="%1."/>
      <w:lvlJc w:val="left"/>
      <w:pPr>
        <w:ind w:left="720" w:hanging="360"/>
      </w:pPr>
      <w:rPr>
        <w:rFonts w:asciiTheme="minorHAnsi" w:eastAsiaTheme="minorHAnsi" w:hAnsiTheme="minorHAnsi" w:cstheme="minorBid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70881E"/>
    <w:multiLevelType w:val="hybridMultilevel"/>
    <w:tmpl w:val="FB3CCC16"/>
    <w:lvl w:ilvl="0" w:tplc="03845A82">
      <w:start w:val="1"/>
      <w:numFmt w:val="bullet"/>
      <w:lvlText w:val=""/>
      <w:lvlJc w:val="left"/>
      <w:pPr>
        <w:ind w:left="720" w:hanging="360"/>
      </w:pPr>
      <w:rPr>
        <w:rFonts w:ascii="Wingdings" w:hAnsi="Wingdings" w:hint="default"/>
      </w:rPr>
    </w:lvl>
    <w:lvl w:ilvl="1" w:tplc="976EFDA0">
      <w:start w:val="1"/>
      <w:numFmt w:val="bullet"/>
      <w:lvlText w:val=""/>
      <w:lvlJc w:val="left"/>
      <w:pPr>
        <w:ind w:left="1440" w:hanging="360"/>
      </w:pPr>
      <w:rPr>
        <w:rFonts w:ascii="Wingdings" w:hAnsi="Wingdings" w:hint="default"/>
      </w:rPr>
    </w:lvl>
    <w:lvl w:ilvl="2" w:tplc="A01250AC">
      <w:start w:val="1"/>
      <w:numFmt w:val="bullet"/>
      <w:lvlText w:val=""/>
      <w:lvlJc w:val="left"/>
      <w:pPr>
        <w:ind w:left="2160" w:hanging="360"/>
      </w:pPr>
      <w:rPr>
        <w:rFonts w:ascii="Wingdings" w:hAnsi="Wingdings" w:hint="default"/>
      </w:rPr>
    </w:lvl>
    <w:lvl w:ilvl="3" w:tplc="2E40DDC6">
      <w:start w:val="1"/>
      <w:numFmt w:val="bullet"/>
      <w:lvlText w:val=""/>
      <w:lvlJc w:val="left"/>
      <w:pPr>
        <w:ind w:left="2880" w:hanging="360"/>
      </w:pPr>
      <w:rPr>
        <w:rFonts w:ascii="Wingdings" w:hAnsi="Wingdings" w:hint="default"/>
      </w:rPr>
    </w:lvl>
    <w:lvl w:ilvl="4" w:tplc="6F4C457E">
      <w:start w:val="1"/>
      <w:numFmt w:val="bullet"/>
      <w:lvlText w:val=""/>
      <w:lvlJc w:val="left"/>
      <w:pPr>
        <w:ind w:left="3600" w:hanging="360"/>
      </w:pPr>
      <w:rPr>
        <w:rFonts w:ascii="Wingdings" w:hAnsi="Wingdings" w:hint="default"/>
      </w:rPr>
    </w:lvl>
    <w:lvl w:ilvl="5" w:tplc="88465586">
      <w:start w:val="1"/>
      <w:numFmt w:val="bullet"/>
      <w:lvlText w:val=""/>
      <w:lvlJc w:val="left"/>
      <w:pPr>
        <w:ind w:left="4320" w:hanging="360"/>
      </w:pPr>
      <w:rPr>
        <w:rFonts w:ascii="Wingdings" w:hAnsi="Wingdings" w:hint="default"/>
      </w:rPr>
    </w:lvl>
    <w:lvl w:ilvl="6" w:tplc="8FD8FE5E">
      <w:start w:val="1"/>
      <w:numFmt w:val="bullet"/>
      <w:lvlText w:val=""/>
      <w:lvlJc w:val="left"/>
      <w:pPr>
        <w:ind w:left="5040" w:hanging="360"/>
      </w:pPr>
      <w:rPr>
        <w:rFonts w:ascii="Wingdings" w:hAnsi="Wingdings" w:hint="default"/>
      </w:rPr>
    </w:lvl>
    <w:lvl w:ilvl="7" w:tplc="F3780D9A">
      <w:start w:val="1"/>
      <w:numFmt w:val="bullet"/>
      <w:lvlText w:val=""/>
      <w:lvlJc w:val="left"/>
      <w:pPr>
        <w:ind w:left="5760" w:hanging="360"/>
      </w:pPr>
      <w:rPr>
        <w:rFonts w:ascii="Wingdings" w:hAnsi="Wingdings" w:hint="default"/>
      </w:rPr>
    </w:lvl>
    <w:lvl w:ilvl="8" w:tplc="314EE19A">
      <w:start w:val="1"/>
      <w:numFmt w:val="bullet"/>
      <w:lvlText w:val=""/>
      <w:lvlJc w:val="left"/>
      <w:pPr>
        <w:ind w:left="6480" w:hanging="360"/>
      </w:pPr>
      <w:rPr>
        <w:rFonts w:ascii="Wingdings" w:hAnsi="Wingdings" w:hint="default"/>
      </w:rPr>
    </w:lvl>
  </w:abstractNum>
  <w:abstractNum w:abstractNumId="2" w15:restartNumberingAfterBreak="0">
    <w:nsid w:val="11A766E6"/>
    <w:multiLevelType w:val="hybridMultilevel"/>
    <w:tmpl w:val="8F0C6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D2D30"/>
    <w:multiLevelType w:val="hybridMultilevel"/>
    <w:tmpl w:val="69869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C3499F"/>
    <w:multiLevelType w:val="hybridMultilevel"/>
    <w:tmpl w:val="1B923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24374C"/>
    <w:multiLevelType w:val="hybridMultilevel"/>
    <w:tmpl w:val="F6D4AA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481A1C"/>
    <w:multiLevelType w:val="hybridMultilevel"/>
    <w:tmpl w:val="38CC70B4"/>
    <w:lvl w:ilvl="0" w:tplc="3E58126C">
      <w:start w:val="1"/>
      <w:numFmt w:val="decimal"/>
      <w:lvlText w:val="%1."/>
      <w:lvlJc w:val="left"/>
      <w:pPr>
        <w:ind w:left="720" w:hanging="360"/>
      </w:pPr>
      <w:rPr>
        <w:rFonts w:asciiTheme="minorHAnsi" w:eastAsiaTheme="minorHAnsi" w:hAnsiTheme="minorHAnsi" w:cstheme="minorBid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030D2D"/>
    <w:multiLevelType w:val="hybridMultilevel"/>
    <w:tmpl w:val="4474A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EE25EC"/>
    <w:multiLevelType w:val="hybridMultilevel"/>
    <w:tmpl w:val="174AC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7F063B"/>
    <w:multiLevelType w:val="hybridMultilevel"/>
    <w:tmpl w:val="7AAA6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3316DF"/>
    <w:multiLevelType w:val="hybridMultilevel"/>
    <w:tmpl w:val="37D41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A21DBE"/>
    <w:multiLevelType w:val="hybridMultilevel"/>
    <w:tmpl w:val="9822B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585050"/>
    <w:multiLevelType w:val="hybridMultilevel"/>
    <w:tmpl w:val="A1B2B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7BBCF4"/>
    <w:multiLevelType w:val="hybridMultilevel"/>
    <w:tmpl w:val="179AB018"/>
    <w:lvl w:ilvl="0" w:tplc="2E8E7754">
      <w:start w:val="1"/>
      <w:numFmt w:val="bullet"/>
      <w:lvlText w:val=""/>
      <w:lvlJc w:val="left"/>
      <w:pPr>
        <w:ind w:left="720" w:hanging="360"/>
      </w:pPr>
      <w:rPr>
        <w:rFonts w:ascii="Symbol" w:hAnsi="Symbol" w:hint="default"/>
      </w:rPr>
    </w:lvl>
    <w:lvl w:ilvl="1" w:tplc="57EA1CBA">
      <w:start w:val="1"/>
      <w:numFmt w:val="bullet"/>
      <w:lvlText w:val="o"/>
      <w:lvlJc w:val="left"/>
      <w:pPr>
        <w:ind w:left="1440" w:hanging="360"/>
      </w:pPr>
      <w:rPr>
        <w:rFonts w:ascii="Courier New" w:hAnsi="Courier New" w:hint="default"/>
      </w:rPr>
    </w:lvl>
    <w:lvl w:ilvl="2" w:tplc="55F4C58E">
      <w:start w:val="1"/>
      <w:numFmt w:val="bullet"/>
      <w:lvlText w:val=""/>
      <w:lvlJc w:val="left"/>
      <w:pPr>
        <w:ind w:left="2160" w:hanging="360"/>
      </w:pPr>
      <w:rPr>
        <w:rFonts w:ascii="Wingdings" w:hAnsi="Wingdings" w:hint="default"/>
      </w:rPr>
    </w:lvl>
    <w:lvl w:ilvl="3" w:tplc="95929C48">
      <w:start w:val="1"/>
      <w:numFmt w:val="bullet"/>
      <w:lvlText w:val=""/>
      <w:lvlJc w:val="left"/>
      <w:pPr>
        <w:ind w:left="2880" w:hanging="360"/>
      </w:pPr>
      <w:rPr>
        <w:rFonts w:ascii="Symbol" w:hAnsi="Symbol" w:hint="default"/>
      </w:rPr>
    </w:lvl>
    <w:lvl w:ilvl="4" w:tplc="10108D42">
      <w:start w:val="1"/>
      <w:numFmt w:val="bullet"/>
      <w:lvlText w:val="o"/>
      <w:lvlJc w:val="left"/>
      <w:pPr>
        <w:ind w:left="3600" w:hanging="360"/>
      </w:pPr>
      <w:rPr>
        <w:rFonts w:ascii="Courier New" w:hAnsi="Courier New" w:hint="default"/>
      </w:rPr>
    </w:lvl>
    <w:lvl w:ilvl="5" w:tplc="B4B2B95C">
      <w:start w:val="1"/>
      <w:numFmt w:val="bullet"/>
      <w:lvlText w:val=""/>
      <w:lvlJc w:val="left"/>
      <w:pPr>
        <w:ind w:left="4320" w:hanging="360"/>
      </w:pPr>
      <w:rPr>
        <w:rFonts w:ascii="Wingdings" w:hAnsi="Wingdings" w:hint="default"/>
      </w:rPr>
    </w:lvl>
    <w:lvl w:ilvl="6" w:tplc="A58EE544">
      <w:start w:val="1"/>
      <w:numFmt w:val="bullet"/>
      <w:lvlText w:val=""/>
      <w:lvlJc w:val="left"/>
      <w:pPr>
        <w:ind w:left="5040" w:hanging="360"/>
      </w:pPr>
      <w:rPr>
        <w:rFonts w:ascii="Symbol" w:hAnsi="Symbol" w:hint="default"/>
      </w:rPr>
    </w:lvl>
    <w:lvl w:ilvl="7" w:tplc="1DAEFDFC">
      <w:start w:val="1"/>
      <w:numFmt w:val="bullet"/>
      <w:lvlText w:val="o"/>
      <w:lvlJc w:val="left"/>
      <w:pPr>
        <w:ind w:left="5760" w:hanging="360"/>
      </w:pPr>
      <w:rPr>
        <w:rFonts w:ascii="Courier New" w:hAnsi="Courier New" w:hint="default"/>
      </w:rPr>
    </w:lvl>
    <w:lvl w:ilvl="8" w:tplc="409E6B3C">
      <w:start w:val="1"/>
      <w:numFmt w:val="bullet"/>
      <w:lvlText w:val=""/>
      <w:lvlJc w:val="left"/>
      <w:pPr>
        <w:ind w:left="6480" w:hanging="360"/>
      </w:pPr>
      <w:rPr>
        <w:rFonts w:ascii="Wingdings" w:hAnsi="Wingdings" w:hint="default"/>
      </w:rPr>
    </w:lvl>
  </w:abstractNum>
  <w:abstractNum w:abstractNumId="14" w15:restartNumberingAfterBreak="0">
    <w:nsid w:val="374E6C35"/>
    <w:multiLevelType w:val="hybridMultilevel"/>
    <w:tmpl w:val="E4923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130B2C"/>
    <w:multiLevelType w:val="hybridMultilevel"/>
    <w:tmpl w:val="9222A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32E0E8"/>
    <w:multiLevelType w:val="hybridMultilevel"/>
    <w:tmpl w:val="F4226160"/>
    <w:lvl w:ilvl="0" w:tplc="25848396">
      <w:start w:val="1"/>
      <w:numFmt w:val="bullet"/>
      <w:lvlText w:val=""/>
      <w:lvlJc w:val="left"/>
      <w:pPr>
        <w:ind w:left="720" w:hanging="360"/>
      </w:pPr>
      <w:rPr>
        <w:rFonts w:ascii="Symbol" w:hAnsi="Symbol" w:hint="default"/>
      </w:rPr>
    </w:lvl>
    <w:lvl w:ilvl="1" w:tplc="8466BC5C">
      <w:start w:val="1"/>
      <w:numFmt w:val="bullet"/>
      <w:lvlText w:val="o"/>
      <w:lvlJc w:val="left"/>
      <w:pPr>
        <w:ind w:left="1440" w:hanging="360"/>
      </w:pPr>
      <w:rPr>
        <w:rFonts w:ascii="Courier New" w:hAnsi="Courier New" w:hint="default"/>
      </w:rPr>
    </w:lvl>
    <w:lvl w:ilvl="2" w:tplc="AED48B78">
      <w:start w:val="1"/>
      <w:numFmt w:val="bullet"/>
      <w:lvlText w:val=""/>
      <w:lvlJc w:val="left"/>
      <w:pPr>
        <w:ind w:left="2160" w:hanging="360"/>
      </w:pPr>
      <w:rPr>
        <w:rFonts w:ascii="Wingdings" w:hAnsi="Wingdings" w:hint="default"/>
      </w:rPr>
    </w:lvl>
    <w:lvl w:ilvl="3" w:tplc="F9DC3916">
      <w:start w:val="1"/>
      <w:numFmt w:val="bullet"/>
      <w:lvlText w:val=""/>
      <w:lvlJc w:val="left"/>
      <w:pPr>
        <w:ind w:left="2880" w:hanging="360"/>
      </w:pPr>
      <w:rPr>
        <w:rFonts w:ascii="Symbol" w:hAnsi="Symbol" w:hint="default"/>
      </w:rPr>
    </w:lvl>
    <w:lvl w:ilvl="4" w:tplc="60980E20">
      <w:start w:val="1"/>
      <w:numFmt w:val="bullet"/>
      <w:lvlText w:val="o"/>
      <w:lvlJc w:val="left"/>
      <w:pPr>
        <w:ind w:left="3600" w:hanging="360"/>
      </w:pPr>
      <w:rPr>
        <w:rFonts w:ascii="Courier New" w:hAnsi="Courier New" w:hint="default"/>
      </w:rPr>
    </w:lvl>
    <w:lvl w:ilvl="5" w:tplc="66927F02">
      <w:start w:val="1"/>
      <w:numFmt w:val="bullet"/>
      <w:lvlText w:val=""/>
      <w:lvlJc w:val="left"/>
      <w:pPr>
        <w:ind w:left="4320" w:hanging="360"/>
      </w:pPr>
      <w:rPr>
        <w:rFonts w:ascii="Wingdings" w:hAnsi="Wingdings" w:hint="default"/>
      </w:rPr>
    </w:lvl>
    <w:lvl w:ilvl="6" w:tplc="D3969798">
      <w:start w:val="1"/>
      <w:numFmt w:val="bullet"/>
      <w:lvlText w:val=""/>
      <w:lvlJc w:val="left"/>
      <w:pPr>
        <w:ind w:left="5040" w:hanging="360"/>
      </w:pPr>
      <w:rPr>
        <w:rFonts w:ascii="Symbol" w:hAnsi="Symbol" w:hint="default"/>
      </w:rPr>
    </w:lvl>
    <w:lvl w:ilvl="7" w:tplc="4CD03840">
      <w:start w:val="1"/>
      <w:numFmt w:val="bullet"/>
      <w:lvlText w:val="o"/>
      <w:lvlJc w:val="left"/>
      <w:pPr>
        <w:ind w:left="5760" w:hanging="360"/>
      </w:pPr>
      <w:rPr>
        <w:rFonts w:ascii="Courier New" w:hAnsi="Courier New" w:hint="default"/>
      </w:rPr>
    </w:lvl>
    <w:lvl w:ilvl="8" w:tplc="36E68D30">
      <w:start w:val="1"/>
      <w:numFmt w:val="bullet"/>
      <w:lvlText w:val=""/>
      <w:lvlJc w:val="left"/>
      <w:pPr>
        <w:ind w:left="6480" w:hanging="360"/>
      </w:pPr>
      <w:rPr>
        <w:rFonts w:ascii="Wingdings" w:hAnsi="Wingdings" w:hint="default"/>
      </w:rPr>
    </w:lvl>
  </w:abstractNum>
  <w:abstractNum w:abstractNumId="17" w15:restartNumberingAfterBreak="0">
    <w:nsid w:val="3CCD3E18"/>
    <w:multiLevelType w:val="multilevel"/>
    <w:tmpl w:val="DE20203E"/>
    <w:lvl w:ilvl="0">
      <w:start w:val="1"/>
      <w:numFmt w:val="decimal"/>
      <w:pStyle w:val="NFCCnumberedpoints"/>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F015702"/>
    <w:multiLevelType w:val="hybridMultilevel"/>
    <w:tmpl w:val="8E7A543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24355BA"/>
    <w:multiLevelType w:val="hybridMultilevel"/>
    <w:tmpl w:val="2B00F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567946"/>
    <w:multiLevelType w:val="hybridMultilevel"/>
    <w:tmpl w:val="9D80B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DB2829"/>
    <w:multiLevelType w:val="hybridMultilevel"/>
    <w:tmpl w:val="AE28C5C4"/>
    <w:lvl w:ilvl="0" w:tplc="1A86DEDE">
      <w:start w:val="1"/>
      <w:numFmt w:val="bullet"/>
      <w:pStyle w:val="ListBullet"/>
      <w:lvlText w:val=""/>
      <w:lvlJc w:val="left"/>
      <w:pPr>
        <w:ind w:left="720" w:hanging="360"/>
      </w:pPr>
      <w:rPr>
        <w:rFonts w:ascii="Symbol" w:hAnsi="Symbol" w:hint="default"/>
      </w:rPr>
    </w:lvl>
    <w:lvl w:ilvl="1" w:tplc="9076A73A">
      <w:start w:val="1"/>
      <w:numFmt w:val="bullet"/>
      <w:pStyle w:val="ListBullet2"/>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695F3D"/>
    <w:multiLevelType w:val="hybridMultilevel"/>
    <w:tmpl w:val="D0C0D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B22E91"/>
    <w:multiLevelType w:val="hybridMultilevel"/>
    <w:tmpl w:val="597EA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CF4132"/>
    <w:multiLevelType w:val="hybridMultilevel"/>
    <w:tmpl w:val="BDEEE0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8C5994"/>
    <w:multiLevelType w:val="hybridMultilevel"/>
    <w:tmpl w:val="AC386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4E6127"/>
    <w:multiLevelType w:val="hybridMultilevel"/>
    <w:tmpl w:val="A7E46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492205"/>
    <w:multiLevelType w:val="hybridMultilevel"/>
    <w:tmpl w:val="FFFFFFFF"/>
    <w:lvl w:ilvl="0" w:tplc="2AFC9460">
      <w:start w:val="1"/>
      <w:numFmt w:val="bullet"/>
      <w:lvlText w:val=""/>
      <w:lvlJc w:val="left"/>
      <w:pPr>
        <w:ind w:left="720" w:hanging="360"/>
      </w:pPr>
      <w:rPr>
        <w:rFonts w:ascii="Symbol" w:hAnsi="Symbol" w:hint="default"/>
      </w:rPr>
    </w:lvl>
    <w:lvl w:ilvl="1" w:tplc="986CFEE4">
      <w:start w:val="1"/>
      <w:numFmt w:val="bullet"/>
      <w:lvlText w:val="o"/>
      <w:lvlJc w:val="left"/>
      <w:pPr>
        <w:ind w:left="1440" w:hanging="360"/>
      </w:pPr>
      <w:rPr>
        <w:rFonts w:ascii="Courier New" w:hAnsi="Courier New" w:hint="default"/>
      </w:rPr>
    </w:lvl>
    <w:lvl w:ilvl="2" w:tplc="1F5EA458">
      <w:start w:val="1"/>
      <w:numFmt w:val="bullet"/>
      <w:lvlText w:val=""/>
      <w:lvlJc w:val="left"/>
      <w:pPr>
        <w:ind w:left="2160" w:hanging="360"/>
      </w:pPr>
      <w:rPr>
        <w:rFonts w:ascii="Wingdings" w:hAnsi="Wingdings" w:hint="default"/>
      </w:rPr>
    </w:lvl>
    <w:lvl w:ilvl="3" w:tplc="55BA38EC">
      <w:start w:val="1"/>
      <w:numFmt w:val="bullet"/>
      <w:lvlText w:val=""/>
      <w:lvlJc w:val="left"/>
      <w:pPr>
        <w:ind w:left="2880" w:hanging="360"/>
      </w:pPr>
      <w:rPr>
        <w:rFonts w:ascii="Symbol" w:hAnsi="Symbol" w:hint="default"/>
      </w:rPr>
    </w:lvl>
    <w:lvl w:ilvl="4" w:tplc="2E9C9362">
      <w:start w:val="1"/>
      <w:numFmt w:val="bullet"/>
      <w:lvlText w:val="o"/>
      <w:lvlJc w:val="left"/>
      <w:pPr>
        <w:ind w:left="3600" w:hanging="360"/>
      </w:pPr>
      <w:rPr>
        <w:rFonts w:ascii="Courier New" w:hAnsi="Courier New" w:hint="default"/>
      </w:rPr>
    </w:lvl>
    <w:lvl w:ilvl="5" w:tplc="8B6AC9F6">
      <w:start w:val="1"/>
      <w:numFmt w:val="bullet"/>
      <w:lvlText w:val=""/>
      <w:lvlJc w:val="left"/>
      <w:pPr>
        <w:ind w:left="4320" w:hanging="360"/>
      </w:pPr>
      <w:rPr>
        <w:rFonts w:ascii="Wingdings" w:hAnsi="Wingdings" w:hint="default"/>
      </w:rPr>
    </w:lvl>
    <w:lvl w:ilvl="6" w:tplc="8EAA78CE">
      <w:start w:val="1"/>
      <w:numFmt w:val="bullet"/>
      <w:lvlText w:val=""/>
      <w:lvlJc w:val="left"/>
      <w:pPr>
        <w:ind w:left="5040" w:hanging="360"/>
      </w:pPr>
      <w:rPr>
        <w:rFonts w:ascii="Symbol" w:hAnsi="Symbol" w:hint="default"/>
      </w:rPr>
    </w:lvl>
    <w:lvl w:ilvl="7" w:tplc="0D7E0884">
      <w:start w:val="1"/>
      <w:numFmt w:val="bullet"/>
      <w:lvlText w:val="o"/>
      <w:lvlJc w:val="left"/>
      <w:pPr>
        <w:ind w:left="5760" w:hanging="360"/>
      </w:pPr>
      <w:rPr>
        <w:rFonts w:ascii="Courier New" w:hAnsi="Courier New" w:hint="default"/>
      </w:rPr>
    </w:lvl>
    <w:lvl w:ilvl="8" w:tplc="2BDE5392">
      <w:start w:val="1"/>
      <w:numFmt w:val="bullet"/>
      <w:lvlText w:val=""/>
      <w:lvlJc w:val="left"/>
      <w:pPr>
        <w:ind w:left="6480" w:hanging="360"/>
      </w:pPr>
      <w:rPr>
        <w:rFonts w:ascii="Wingdings" w:hAnsi="Wingdings" w:hint="default"/>
      </w:rPr>
    </w:lvl>
  </w:abstractNum>
  <w:abstractNum w:abstractNumId="28" w15:restartNumberingAfterBreak="0">
    <w:nsid w:val="69356540"/>
    <w:multiLevelType w:val="hybridMultilevel"/>
    <w:tmpl w:val="4E78A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E656CE"/>
    <w:multiLevelType w:val="multilevel"/>
    <w:tmpl w:val="490242E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360"/>
      </w:pPr>
    </w:lvl>
    <w:lvl w:ilvl="3" w:tentative="1">
      <w:start w:val="1"/>
      <w:numFmt w:val="decimal"/>
      <w:lvlText w:val="%1.%2.%3.%4."/>
      <w:lvlJc w:val="left"/>
      <w:pPr>
        <w:ind w:left="2880" w:hanging="360"/>
      </w:pPr>
    </w:lvl>
    <w:lvl w:ilvl="4" w:tentative="1">
      <w:start w:val="1"/>
      <w:numFmt w:val="decimal"/>
      <w:lvlText w:val="%1.%2.%3.%4.%5."/>
      <w:lvlJc w:val="left"/>
      <w:pPr>
        <w:ind w:left="3600" w:hanging="360"/>
      </w:pPr>
    </w:lvl>
    <w:lvl w:ilvl="5" w:tentative="1">
      <w:start w:val="1"/>
      <w:numFmt w:val="decimal"/>
      <w:lvlText w:val="%1.%2.%3.%4.%5.%6."/>
      <w:lvlJc w:val="left"/>
      <w:pPr>
        <w:ind w:left="4320" w:hanging="360"/>
      </w:pPr>
    </w:lvl>
    <w:lvl w:ilvl="6" w:tentative="1">
      <w:start w:val="1"/>
      <w:numFmt w:val="decimal"/>
      <w:lvlText w:val="%1.%2.%3.%4.%5.%6.%7."/>
      <w:lvlJc w:val="left"/>
      <w:pPr>
        <w:ind w:left="5040" w:hanging="360"/>
      </w:pPr>
    </w:lvl>
    <w:lvl w:ilvl="7" w:tentative="1">
      <w:start w:val="1"/>
      <w:numFmt w:val="decimal"/>
      <w:lvlText w:val="%1.%2.%3.%4.%5.%6.%7.%8."/>
      <w:lvlJc w:val="left"/>
      <w:pPr>
        <w:ind w:left="5760" w:hanging="360"/>
      </w:pPr>
    </w:lvl>
    <w:lvl w:ilvl="8" w:tentative="1">
      <w:start w:val="1"/>
      <w:numFmt w:val="decimal"/>
      <w:lvlText w:val="%1.%2.%3.%4.%5.%6.%7.%8.%9."/>
      <w:lvlJc w:val="left"/>
      <w:pPr>
        <w:ind w:left="6480" w:hanging="360"/>
      </w:pPr>
    </w:lvl>
  </w:abstractNum>
  <w:abstractNum w:abstractNumId="30" w15:restartNumberingAfterBreak="0">
    <w:nsid w:val="767D6B11"/>
    <w:multiLevelType w:val="hybridMultilevel"/>
    <w:tmpl w:val="56B28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0624A4"/>
    <w:multiLevelType w:val="hybridMultilevel"/>
    <w:tmpl w:val="A87AD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0790573">
    <w:abstractNumId w:val="21"/>
  </w:num>
  <w:num w:numId="2" w16cid:durableId="286276587">
    <w:abstractNumId w:val="17"/>
  </w:num>
  <w:num w:numId="3" w16cid:durableId="1371028664">
    <w:abstractNumId w:val="16"/>
  </w:num>
  <w:num w:numId="4" w16cid:durableId="1921139623">
    <w:abstractNumId w:val="1"/>
  </w:num>
  <w:num w:numId="5" w16cid:durableId="1051880069">
    <w:abstractNumId w:val="13"/>
  </w:num>
  <w:num w:numId="6" w16cid:durableId="1791317465">
    <w:abstractNumId w:val="14"/>
  </w:num>
  <w:num w:numId="7" w16cid:durableId="2062166307">
    <w:abstractNumId w:val="29"/>
  </w:num>
  <w:num w:numId="8" w16cid:durableId="2104103145">
    <w:abstractNumId w:val="26"/>
  </w:num>
  <w:num w:numId="9" w16cid:durableId="906769649">
    <w:abstractNumId w:val="20"/>
  </w:num>
  <w:num w:numId="10" w16cid:durableId="1542129821">
    <w:abstractNumId w:val="9"/>
  </w:num>
  <w:num w:numId="11" w16cid:durableId="2046521663">
    <w:abstractNumId w:val="24"/>
  </w:num>
  <w:num w:numId="12" w16cid:durableId="55664566">
    <w:abstractNumId w:val="7"/>
  </w:num>
  <w:num w:numId="13" w16cid:durableId="1788817226">
    <w:abstractNumId w:val="25"/>
  </w:num>
  <w:num w:numId="14" w16cid:durableId="738091712">
    <w:abstractNumId w:val="12"/>
  </w:num>
  <w:num w:numId="15" w16cid:durableId="1531530122">
    <w:abstractNumId w:val="18"/>
  </w:num>
  <w:num w:numId="16" w16cid:durableId="555238321">
    <w:abstractNumId w:val="3"/>
  </w:num>
  <w:num w:numId="17" w16cid:durableId="1638682553">
    <w:abstractNumId w:val="15"/>
  </w:num>
  <w:num w:numId="18" w16cid:durableId="1323122043">
    <w:abstractNumId w:val="28"/>
  </w:num>
  <w:num w:numId="19" w16cid:durableId="1922175618">
    <w:abstractNumId w:val="19"/>
  </w:num>
  <w:num w:numId="20" w16cid:durableId="1991982549">
    <w:abstractNumId w:val="23"/>
  </w:num>
  <w:num w:numId="21" w16cid:durableId="1994137999">
    <w:abstractNumId w:val="8"/>
  </w:num>
  <w:num w:numId="22" w16cid:durableId="197401312">
    <w:abstractNumId w:val="11"/>
  </w:num>
  <w:num w:numId="23" w16cid:durableId="1944145511">
    <w:abstractNumId w:val="31"/>
  </w:num>
  <w:num w:numId="24" w16cid:durableId="181938966">
    <w:abstractNumId w:val="10"/>
  </w:num>
  <w:num w:numId="25" w16cid:durableId="1776364832">
    <w:abstractNumId w:val="27"/>
  </w:num>
  <w:num w:numId="26" w16cid:durableId="1462114692">
    <w:abstractNumId w:val="2"/>
  </w:num>
  <w:num w:numId="27" w16cid:durableId="93088504">
    <w:abstractNumId w:val="30"/>
  </w:num>
  <w:num w:numId="28" w16cid:durableId="804666721">
    <w:abstractNumId w:val="5"/>
  </w:num>
  <w:num w:numId="29" w16cid:durableId="1962876651">
    <w:abstractNumId w:val="22"/>
  </w:num>
  <w:num w:numId="30" w16cid:durableId="1052314497">
    <w:abstractNumId w:val="4"/>
  </w:num>
  <w:num w:numId="31" w16cid:durableId="370152926">
    <w:abstractNumId w:val="0"/>
  </w:num>
  <w:num w:numId="32" w16cid:durableId="160659054">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AF1"/>
    <w:rsid w:val="00001AE3"/>
    <w:rsid w:val="000028DB"/>
    <w:rsid w:val="0000358D"/>
    <w:rsid w:val="00003841"/>
    <w:rsid w:val="00003BEF"/>
    <w:rsid w:val="00004A95"/>
    <w:rsid w:val="00005421"/>
    <w:rsid w:val="0000580C"/>
    <w:rsid w:val="00006876"/>
    <w:rsid w:val="000110B9"/>
    <w:rsid w:val="000116B2"/>
    <w:rsid w:val="00013F19"/>
    <w:rsid w:val="00016655"/>
    <w:rsid w:val="00016C59"/>
    <w:rsid w:val="00020E82"/>
    <w:rsid w:val="00021D25"/>
    <w:rsid w:val="00022E62"/>
    <w:rsid w:val="00023EEA"/>
    <w:rsid w:val="000241D6"/>
    <w:rsid w:val="00024879"/>
    <w:rsid w:val="00025239"/>
    <w:rsid w:val="00025B38"/>
    <w:rsid w:val="00026D5D"/>
    <w:rsid w:val="00030F7D"/>
    <w:rsid w:val="00034CD3"/>
    <w:rsid w:val="00035561"/>
    <w:rsid w:val="00036118"/>
    <w:rsid w:val="000366E4"/>
    <w:rsid w:val="00036C61"/>
    <w:rsid w:val="00036CC8"/>
    <w:rsid w:val="000403A8"/>
    <w:rsid w:val="00041A87"/>
    <w:rsid w:val="00041B3E"/>
    <w:rsid w:val="00043D9E"/>
    <w:rsid w:val="00043DF0"/>
    <w:rsid w:val="000466B3"/>
    <w:rsid w:val="00047FDF"/>
    <w:rsid w:val="0005137F"/>
    <w:rsid w:val="00054616"/>
    <w:rsid w:val="000560F3"/>
    <w:rsid w:val="00056969"/>
    <w:rsid w:val="00057967"/>
    <w:rsid w:val="00061916"/>
    <w:rsid w:val="00064C41"/>
    <w:rsid w:val="00064CE0"/>
    <w:rsid w:val="00065887"/>
    <w:rsid w:val="00066508"/>
    <w:rsid w:val="0006676B"/>
    <w:rsid w:val="00067DA2"/>
    <w:rsid w:val="0007137F"/>
    <w:rsid w:val="00071BB6"/>
    <w:rsid w:val="000738FB"/>
    <w:rsid w:val="00074196"/>
    <w:rsid w:val="00074D24"/>
    <w:rsid w:val="000756F4"/>
    <w:rsid w:val="00080709"/>
    <w:rsid w:val="00080B7C"/>
    <w:rsid w:val="00080D1B"/>
    <w:rsid w:val="0008199C"/>
    <w:rsid w:val="00082AD7"/>
    <w:rsid w:val="000831BC"/>
    <w:rsid w:val="00084721"/>
    <w:rsid w:val="00085483"/>
    <w:rsid w:val="00085E06"/>
    <w:rsid w:val="0008701A"/>
    <w:rsid w:val="000872D8"/>
    <w:rsid w:val="000909F1"/>
    <w:rsid w:val="00090A9A"/>
    <w:rsid w:val="00093BF1"/>
    <w:rsid w:val="00093CC3"/>
    <w:rsid w:val="00093DAF"/>
    <w:rsid w:val="000945AF"/>
    <w:rsid w:val="00094980"/>
    <w:rsid w:val="00094FD4"/>
    <w:rsid w:val="00095B5A"/>
    <w:rsid w:val="00096275"/>
    <w:rsid w:val="00097603"/>
    <w:rsid w:val="000A2252"/>
    <w:rsid w:val="000A2A33"/>
    <w:rsid w:val="000A335E"/>
    <w:rsid w:val="000A66EA"/>
    <w:rsid w:val="000A7A16"/>
    <w:rsid w:val="000B022F"/>
    <w:rsid w:val="000B17A1"/>
    <w:rsid w:val="000B2A08"/>
    <w:rsid w:val="000B2C9F"/>
    <w:rsid w:val="000B3CEF"/>
    <w:rsid w:val="000B5F06"/>
    <w:rsid w:val="000C024B"/>
    <w:rsid w:val="000C22F0"/>
    <w:rsid w:val="000C3C22"/>
    <w:rsid w:val="000C3EDE"/>
    <w:rsid w:val="000C46E7"/>
    <w:rsid w:val="000C4E36"/>
    <w:rsid w:val="000C56D9"/>
    <w:rsid w:val="000C6E71"/>
    <w:rsid w:val="000C73AF"/>
    <w:rsid w:val="000C7721"/>
    <w:rsid w:val="000C7BA0"/>
    <w:rsid w:val="000D375A"/>
    <w:rsid w:val="000D5844"/>
    <w:rsid w:val="000E03FF"/>
    <w:rsid w:val="000E0822"/>
    <w:rsid w:val="000E32CC"/>
    <w:rsid w:val="000E343E"/>
    <w:rsid w:val="000E354D"/>
    <w:rsid w:val="000E5337"/>
    <w:rsid w:val="000E56B1"/>
    <w:rsid w:val="000E5E70"/>
    <w:rsid w:val="000E7485"/>
    <w:rsid w:val="000E7C90"/>
    <w:rsid w:val="000E7FCD"/>
    <w:rsid w:val="000F12F0"/>
    <w:rsid w:val="000F1A27"/>
    <w:rsid w:val="000F4455"/>
    <w:rsid w:val="000F4564"/>
    <w:rsid w:val="000F520E"/>
    <w:rsid w:val="00100194"/>
    <w:rsid w:val="00100EE2"/>
    <w:rsid w:val="001025D8"/>
    <w:rsid w:val="0010390A"/>
    <w:rsid w:val="00105223"/>
    <w:rsid w:val="001060DC"/>
    <w:rsid w:val="00106574"/>
    <w:rsid w:val="001103EC"/>
    <w:rsid w:val="00110611"/>
    <w:rsid w:val="00110D15"/>
    <w:rsid w:val="00113740"/>
    <w:rsid w:val="00113E6A"/>
    <w:rsid w:val="00114896"/>
    <w:rsid w:val="00117EDA"/>
    <w:rsid w:val="001200A5"/>
    <w:rsid w:val="0012170B"/>
    <w:rsid w:val="00121E21"/>
    <w:rsid w:val="00123EE2"/>
    <w:rsid w:val="001250CD"/>
    <w:rsid w:val="001267E5"/>
    <w:rsid w:val="001277A8"/>
    <w:rsid w:val="00130650"/>
    <w:rsid w:val="00135820"/>
    <w:rsid w:val="0013707A"/>
    <w:rsid w:val="001404A0"/>
    <w:rsid w:val="001406F7"/>
    <w:rsid w:val="0014254B"/>
    <w:rsid w:val="001425E3"/>
    <w:rsid w:val="00142841"/>
    <w:rsid w:val="00142B1A"/>
    <w:rsid w:val="00142B8F"/>
    <w:rsid w:val="001453A4"/>
    <w:rsid w:val="00145465"/>
    <w:rsid w:val="00146860"/>
    <w:rsid w:val="00146EFB"/>
    <w:rsid w:val="00146F1B"/>
    <w:rsid w:val="00150ECF"/>
    <w:rsid w:val="00152871"/>
    <w:rsid w:val="00152AA2"/>
    <w:rsid w:val="001532C4"/>
    <w:rsid w:val="00154066"/>
    <w:rsid w:val="001543EA"/>
    <w:rsid w:val="001549CF"/>
    <w:rsid w:val="00154D7A"/>
    <w:rsid w:val="00155D66"/>
    <w:rsid w:val="00162C76"/>
    <w:rsid w:val="00164460"/>
    <w:rsid w:val="00164F54"/>
    <w:rsid w:val="00166536"/>
    <w:rsid w:val="00167F21"/>
    <w:rsid w:val="0017193C"/>
    <w:rsid w:val="001719ED"/>
    <w:rsid w:val="00172787"/>
    <w:rsid w:val="00174D98"/>
    <w:rsid w:val="00175A6E"/>
    <w:rsid w:val="001774EE"/>
    <w:rsid w:val="00177567"/>
    <w:rsid w:val="001810BA"/>
    <w:rsid w:val="0018313B"/>
    <w:rsid w:val="00185E34"/>
    <w:rsid w:val="00190E85"/>
    <w:rsid w:val="00191046"/>
    <w:rsid w:val="00191559"/>
    <w:rsid w:val="00192135"/>
    <w:rsid w:val="00192FF3"/>
    <w:rsid w:val="0019504E"/>
    <w:rsid w:val="0019605B"/>
    <w:rsid w:val="001A1064"/>
    <w:rsid w:val="001A1F38"/>
    <w:rsid w:val="001A2950"/>
    <w:rsid w:val="001A48B7"/>
    <w:rsid w:val="001A5DE6"/>
    <w:rsid w:val="001A5E72"/>
    <w:rsid w:val="001A5FAC"/>
    <w:rsid w:val="001A63BC"/>
    <w:rsid w:val="001B1512"/>
    <w:rsid w:val="001B191D"/>
    <w:rsid w:val="001B1C05"/>
    <w:rsid w:val="001B1C3A"/>
    <w:rsid w:val="001B1D81"/>
    <w:rsid w:val="001B5050"/>
    <w:rsid w:val="001B5BAF"/>
    <w:rsid w:val="001C0B05"/>
    <w:rsid w:val="001C0B29"/>
    <w:rsid w:val="001C1610"/>
    <w:rsid w:val="001C1A2F"/>
    <w:rsid w:val="001C1AA4"/>
    <w:rsid w:val="001C207B"/>
    <w:rsid w:val="001C233D"/>
    <w:rsid w:val="001C2B37"/>
    <w:rsid w:val="001C2F9B"/>
    <w:rsid w:val="001C488E"/>
    <w:rsid w:val="001D1360"/>
    <w:rsid w:val="001D19DD"/>
    <w:rsid w:val="001D2FFC"/>
    <w:rsid w:val="001D3970"/>
    <w:rsid w:val="001D3B8F"/>
    <w:rsid w:val="001D51A3"/>
    <w:rsid w:val="001E1CA5"/>
    <w:rsid w:val="001E1E6D"/>
    <w:rsid w:val="001E2E35"/>
    <w:rsid w:val="001E4D4B"/>
    <w:rsid w:val="001F1927"/>
    <w:rsid w:val="001F1F83"/>
    <w:rsid w:val="001F2286"/>
    <w:rsid w:val="001F2556"/>
    <w:rsid w:val="001F2713"/>
    <w:rsid w:val="001F2F23"/>
    <w:rsid w:val="001F5F11"/>
    <w:rsid w:val="001F601D"/>
    <w:rsid w:val="001F698F"/>
    <w:rsid w:val="001F6EB2"/>
    <w:rsid w:val="0020084F"/>
    <w:rsid w:val="00202614"/>
    <w:rsid w:val="00202727"/>
    <w:rsid w:val="00202E71"/>
    <w:rsid w:val="0020396A"/>
    <w:rsid w:val="00203B6E"/>
    <w:rsid w:val="00204804"/>
    <w:rsid w:val="002049D7"/>
    <w:rsid w:val="002052F8"/>
    <w:rsid w:val="00205FB7"/>
    <w:rsid w:val="002060F6"/>
    <w:rsid w:val="00206B34"/>
    <w:rsid w:val="00207ADF"/>
    <w:rsid w:val="00211832"/>
    <w:rsid w:val="00212E64"/>
    <w:rsid w:val="00212F5E"/>
    <w:rsid w:val="00214FEE"/>
    <w:rsid w:val="002171C4"/>
    <w:rsid w:val="00221176"/>
    <w:rsid w:val="00221484"/>
    <w:rsid w:val="0022164B"/>
    <w:rsid w:val="00221715"/>
    <w:rsid w:val="00222F31"/>
    <w:rsid w:val="002231C0"/>
    <w:rsid w:val="002231D9"/>
    <w:rsid w:val="00223A3D"/>
    <w:rsid w:val="00224847"/>
    <w:rsid w:val="00225D22"/>
    <w:rsid w:val="002265D9"/>
    <w:rsid w:val="00226A09"/>
    <w:rsid w:val="0023020A"/>
    <w:rsid w:val="00230B6C"/>
    <w:rsid w:val="002323A0"/>
    <w:rsid w:val="00232420"/>
    <w:rsid w:val="002333DA"/>
    <w:rsid w:val="00233AAF"/>
    <w:rsid w:val="00235B84"/>
    <w:rsid w:val="00236241"/>
    <w:rsid w:val="00237F22"/>
    <w:rsid w:val="00240A81"/>
    <w:rsid w:val="00241262"/>
    <w:rsid w:val="002422F4"/>
    <w:rsid w:val="00243DF1"/>
    <w:rsid w:val="002445D5"/>
    <w:rsid w:val="00251C0F"/>
    <w:rsid w:val="002548C6"/>
    <w:rsid w:val="00255799"/>
    <w:rsid w:val="002560A7"/>
    <w:rsid w:val="00257A5A"/>
    <w:rsid w:val="00257F75"/>
    <w:rsid w:val="00263B6B"/>
    <w:rsid w:val="002661BC"/>
    <w:rsid w:val="0026652C"/>
    <w:rsid w:val="002666C0"/>
    <w:rsid w:val="00271105"/>
    <w:rsid w:val="00271283"/>
    <w:rsid w:val="00271D26"/>
    <w:rsid w:val="00273344"/>
    <w:rsid w:val="00274CE2"/>
    <w:rsid w:val="00276D40"/>
    <w:rsid w:val="00283652"/>
    <w:rsid w:val="0028504F"/>
    <w:rsid w:val="00285B2C"/>
    <w:rsid w:val="00286F13"/>
    <w:rsid w:val="00290A31"/>
    <w:rsid w:val="002923DF"/>
    <w:rsid w:val="0029250E"/>
    <w:rsid w:val="00292BE6"/>
    <w:rsid w:val="00294008"/>
    <w:rsid w:val="00294FFB"/>
    <w:rsid w:val="00297C30"/>
    <w:rsid w:val="002A1AB9"/>
    <w:rsid w:val="002A217F"/>
    <w:rsid w:val="002A4A1B"/>
    <w:rsid w:val="002A4A29"/>
    <w:rsid w:val="002A672C"/>
    <w:rsid w:val="002A7EDC"/>
    <w:rsid w:val="002B0B60"/>
    <w:rsid w:val="002B2745"/>
    <w:rsid w:val="002B36AA"/>
    <w:rsid w:val="002B47E8"/>
    <w:rsid w:val="002B71E8"/>
    <w:rsid w:val="002B77B8"/>
    <w:rsid w:val="002C0018"/>
    <w:rsid w:val="002C01B9"/>
    <w:rsid w:val="002C1224"/>
    <w:rsid w:val="002C2458"/>
    <w:rsid w:val="002C3189"/>
    <w:rsid w:val="002C3666"/>
    <w:rsid w:val="002C460E"/>
    <w:rsid w:val="002C48EB"/>
    <w:rsid w:val="002C574B"/>
    <w:rsid w:val="002C7B92"/>
    <w:rsid w:val="002C7DD1"/>
    <w:rsid w:val="002D044D"/>
    <w:rsid w:val="002D1345"/>
    <w:rsid w:val="002D1682"/>
    <w:rsid w:val="002D1E78"/>
    <w:rsid w:val="002D3006"/>
    <w:rsid w:val="002D357B"/>
    <w:rsid w:val="002D7A42"/>
    <w:rsid w:val="002E15A5"/>
    <w:rsid w:val="002E19F1"/>
    <w:rsid w:val="002E31CE"/>
    <w:rsid w:val="002E4B08"/>
    <w:rsid w:val="002E6673"/>
    <w:rsid w:val="002F083A"/>
    <w:rsid w:val="002F13FE"/>
    <w:rsid w:val="002F2B01"/>
    <w:rsid w:val="002F3EAD"/>
    <w:rsid w:val="002F4E96"/>
    <w:rsid w:val="002F6FB7"/>
    <w:rsid w:val="00301680"/>
    <w:rsid w:val="00302B37"/>
    <w:rsid w:val="00303CA5"/>
    <w:rsid w:val="00304F34"/>
    <w:rsid w:val="003055FC"/>
    <w:rsid w:val="00311BE7"/>
    <w:rsid w:val="00311C0A"/>
    <w:rsid w:val="003125B8"/>
    <w:rsid w:val="0031392F"/>
    <w:rsid w:val="00313ED9"/>
    <w:rsid w:val="00315664"/>
    <w:rsid w:val="00315E1E"/>
    <w:rsid w:val="00316616"/>
    <w:rsid w:val="00317556"/>
    <w:rsid w:val="00320C14"/>
    <w:rsid w:val="00321935"/>
    <w:rsid w:val="00321E8C"/>
    <w:rsid w:val="00321F9D"/>
    <w:rsid w:val="0032219E"/>
    <w:rsid w:val="003222B8"/>
    <w:rsid w:val="00323BCC"/>
    <w:rsid w:val="00323BDD"/>
    <w:rsid w:val="00324577"/>
    <w:rsid w:val="00325CA2"/>
    <w:rsid w:val="00327161"/>
    <w:rsid w:val="00330986"/>
    <w:rsid w:val="00330ABB"/>
    <w:rsid w:val="00331B96"/>
    <w:rsid w:val="00331FB9"/>
    <w:rsid w:val="00332B66"/>
    <w:rsid w:val="00333C30"/>
    <w:rsid w:val="00334339"/>
    <w:rsid w:val="003353F4"/>
    <w:rsid w:val="00335579"/>
    <w:rsid w:val="00336731"/>
    <w:rsid w:val="00341D02"/>
    <w:rsid w:val="00343573"/>
    <w:rsid w:val="0034597C"/>
    <w:rsid w:val="00345C7E"/>
    <w:rsid w:val="003464B1"/>
    <w:rsid w:val="00346FFF"/>
    <w:rsid w:val="00350C3F"/>
    <w:rsid w:val="00351536"/>
    <w:rsid w:val="003527D5"/>
    <w:rsid w:val="00353720"/>
    <w:rsid w:val="00356CA3"/>
    <w:rsid w:val="00357997"/>
    <w:rsid w:val="00360A86"/>
    <w:rsid w:val="00360AF6"/>
    <w:rsid w:val="00364537"/>
    <w:rsid w:val="003705A5"/>
    <w:rsid w:val="00372E4F"/>
    <w:rsid w:val="00374455"/>
    <w:rsid w:val="00374D1C"/>
    <w:rsid w:val="0037524D"/>
    <w:rsid w:val="003766FB"/>
    <w:rsid w:val="00377681"/>
    <w:rsid w:val="00377698"/>
    <w:rsid w:val="00380A20"/>
    <w:rsid w:val="0038188D"/>
    <w:rsid w:val="00382A12"/>
    <w:rsid w:val="00383482"/>
    <w:rsid w:val="003858C4"/>
    <w:rsid w:val="003912AE"/>
    <w:rsid w:val="00391AF8"/>
    <w:rsid w:val="00393533"/>
    <w:rsid w:val="003949AF"/>
    <w:rsid w:val="00395A21"/>
    <w:rsid w:val="00397E7F"/>
    <w:rsid w:val="003A03C5"/>
    <w:rsid w:val="003A0CEF"/>
    <w:rsid w:val="003A15E7"/>
    <w:rsid w:val="003A1BF2"/>
    <w:rsid w:val="003A298F"/>
    <w:rsid w:val="003A4122"/>
    <w:rsid w:val="003A454C"/>
    <w:rsid w:val="003A4CB7"/>
    <w:rsid w:val="003A4DE6"/>
    <w:rsid w:val="003A6BF5"/>
    <w:rsid w:val="003B2E59"/>
    <w:rsid w:val="003B382D"/>
    <w:rsid w:val="003B3E46"/>
    <w:rsid w:val="003B40D8"/>
    <w:rsid w:val="003B5BE9"/>
    <w:rsid w:val="003B5E4D"/>
    <w:rsid w:val="003B6395"/>
    <w:rsid w:val="003B7B33"/>
    <w:rsid w:val="003C22A7"/>
    <w:rsid w:val="003C260D"/>
    <w:rsid w:val="003C337D"/>
    <w:rsid w:val="003C33DE"/>
    <w:rsid w:val="003C3A6F"/>
    <w:rsid w:val="003C3C81"/>
    <w:rsid w:val="003C414F"/>
    <w:rsid w:val="003C4637"/>
    <w:rsid w:val="003C5EB1"/>
    <w:rsid w:val="003D023C"/>
    <w:rsid w:val="003D039C"/>
    <w:rsid w:val="003D0BF6"/>
    <w:rsid w:val="003D1972"/>
    <w:rsid w:val="003D1EB1"/>
    <w:rsid w:val="003D32B2"/>
    <w:rsid w:val="003D4271"/>
    <w:rsid w:val="003D5D9C"/>
    <w:rsid w:val="003D6137"/>
    <w:rsid w:val="003D6736"/>
    <w:rsid w:val="003D69F4"/>
    <w:rsid w:val="003D6DD3"/>
    <w:rsid w:val="003D7126"/>
    <w:rsid w:val="003D7A79"/>
    <w:rsid w:val="003D7E8A"/>
    <w:rsid w:val="003E06BE"/>
    <w:rsid w:val="003E0733"/>
    <w:rsid w:val="003E2A49"/>
    <w:rsid w:val="003E38F5"/>
    <w:rsid w:val="003E3A0E"/>
    <w:rsid w:val="003E4CE8"/>
    <w:rsid w:val="003F294D"/>
    <w:rsid w:val="003F4583"/>
    <w:rsid w:val="003F57AE"/>
    <w:rsid w:val="003F6671"/>
    <w:rsid w:val="003F676F"/>
    <w:rsid w:val="003F6C7C"/>
    <w:rsid w:val="003F6F36"/>
    <w:rsid w:val="00400EC6"/>
    <w:rsid w:val="00400EF5"/>
    <w:rsid w:val="00400FF3"/>
    <w:rsid w:val="004015FA"/>
    <w:rsid w:val="00401836"/>
    <w:rsid w:val="00402FBA"/>
    <w:rsid w:val="004036C7"/>
    <w:rsid w:val="00403832"/>
    <w:rsid w:val="00404596"/>
    <w:rsid w:val="004072C2"/>
    <w:rsid w:val="00413005"/>
    <w:rsid w:val="0041330C"/>
    <w:rsid w:val="004134F0"/>
    <w:rsid w:val="00416628"/>
    <w:rsid w:val="0041790E"/>
    <w:rsid w:val="00417EDD"/>
    <w:rsid w:val="0042084A"/>
    <w:rsid w:val="00420F9E"/>
    <w:rsid w:val="00422AB7"/>
    <w:rsid w:val="00423CAA"/>
    <w:rsid w:val="00423D08"/>
    <w:rsid w:val="0042504D"/>
    <w:rsid w:val="00425456"/>
    <w:rsid w:val="004259C9"/>
    <w:rsid w:val="00425B54"/>
    <w:rsid w:val="004325C5"/>
    <w:rsid w:val="004336A4"/>
    <w:rsid w:val="004338BF"/>
    <w:rsid w:val="00435430"/>
    <w:rsid w:val="00436D9A"/>
    <w:rsid w:val="00437392"/>
    <w:rsid w:val="004406DA"/>
    <w:rsid w:val="00440F70"/>
    <w:rsid w:val="0044149A"/>
    <w:rsid w:val="00441576"/>
    <w:rsid w:val="0044356B"/>
    <w:rsid w:val="004455A1"/>
    <w:rsid w:val="004507F0"/>
    <w:rsid w:val="00450B5F"/>
    <w:rsid w:val="004513BF"/>
    <w:rsid w:val="004519E6"/>
    <w:rsid w:val="00452B5D"/>
    <w:rsid w:val="00452D9A"/>
    <w:rsid w:val="00461D53"/>
    <w:rsid w:val="00462C16"/>
    <w:rsid w:val="00463229"/>
    <w:rsid w:val="004634ED"/>
    <w:rsid w:val="004650B2"/>
    <w:rsid w:val="00466B77"/>
    <w:rsid w:val="00466BED"/>
    <w:rsid w:val="00466ED9"/>
    <w:rsid w:val="0047224A"/>
    <w:rsid w:val="004775F4"/>
    <w:rsid w:val="00477834"/>
    <w:rsid w:val="00477A68"/>
    <w:rsid w:val="00482704"/>
    <w:rsid w:val="004843C4"/>
    <w:rsid w:val="00484473"/>
    <w:rsid w:val="00484BDA"/>
    <w:rsid w:val="0048590B"/>
    <w:rsid w:val="00485AA3"/>
    <w:rsid w:val="00486429"/>
    <w:rsid w:val="00487BF9"/>
    <w:rsid w:val="00487E85"/>
    <w:rsid w:val="00491AC4"/>
    <w:rsid w:val="004946D8"/>
    <w:rsid w:val="00496F50"/>
    <w:rsid w:val="00497B1B"/>
    <w:rsid w:val="004A2866"/>
    <w:rsid w:val="004A291A"/>
    <w:rsid w:val="004A5079"/>
    <w:rsid w:val="004A5681"/>
    <w:rsid w:val="004B20DE"/>
    <w:rsid w:val="004B2107"/>
    <w:rsid w:val="004B34C0"/>
    <w:rsid w:val="004B6385"/>
    <w:rsid w:val="004B6435"/>
    <w:rsid w:val="004B7284"/>
    <w:rsid w:val="004C000D"/>
    <w:rsid w:val="004C030B"/>
    <w:rsid w:val="004C09A1"/>
    <w:rsid w:val="004C1639"/>
    <w:rsid w:val="004C1C04"/>
    <w:rsid w:val="004C2E5C"/>
    <w:rsid w:val="004C3A06"/>
    <w:rsid w:val="004C4C63"/>
    <w:rsid w:val="004C4EE2"/>
    <w:rsid w:val="004C664E"/>
    <w:rsid w:val="004C6A32"/>
    <w:rsid w:val="004C6AF7"/>
    <w:rsid w:val="004C6C83"/>
    <w:rsid w:val="004C6EF9"/>
    <w:rsid w:val="004D0468"/>
    <w:rsid w:val="004D0A0B"/>
    <w:rsid w:val="004D0E9E"/>
    <w:rsid w:val="004D139D"/>
    <w:rsid w:val="004D3DD4"/>
    <w:rsid w:val="004D60EC"/>
    <w:rsid w:val="004E0191"/>
    <w:rsid w:val="004E08EF"/>
    <w:rsid w:val="004E28AF"/>
    <w:rsid w:val="004E5BD4"/>
    <w:rsid w:val="004E5FB0"/>
    <w:rsid w:val="004E61C2"/>
    <w:rsid w:val="004E6C91"/>
    <w:rsid w:val="004E765C"/>
    <w:rsid w:val="004E7C5A"/>
    <w:rsid w:val="004F08B3"/>
    <w:rsid w:val="004F1082"/>
    <w:rsid w:val="004F13F6"/>
    <w:rsid w:val="004F1775"/>
    <w:rsid w:val="004F1B5F"/>
    <w:rsid w:val="004F2F25"/>
    <w:rsid w:val="004F2FBB"/>
    <w:rsid w:val="004F31E7"/>
    <w:rsid w:val="004F4070"/>
    <w:rsid w:val="004F5DB9"/>
    <w:rsid w:val="004F5E23"/>
    <w:rsid w:val="00500A1E"/>
    <w:rsid w:val="00502C31"/>
    <w:rsid w:val="00503536"/>
    <w:rsid w:val="005052F6"/>
    <w:rsid w:val="00507861"/>
    <w:rsid w:val="00510776"/>
    <w:rsid w:val="005113B5"/>
    <w:rsid w:val="00511DD1"/>
    <w:rsid w:val="00513624"/>
    <w:rsid w:val="00514BB4"/>
    <w:rsid w:val="00515C53"/>
    <w:rsid w:val="00515DC6"/>
    <w:rsid w:val="0051786A"/>
    <w:rsid w:val="00517D4C"/>
    <w:rsid w:val="0052038B"/>
    <w:rsid w:val="00520A01"/>
    <w:rsid w:val="00520B34"/>
    <w:rsid w:val="00520C47"/>
    <w:rsid w:val="00520D98"/>
    <w:rsid w:val="00522F56"/>
    <w:rsid w:val="0052346E"/>
    <w:rsid w:val="00523780"/>
    <w:rsid w:val="00525D90"/>
    <w:rsid w:val="00527254"/>
    <w:rsid w:val="00527C70"/>
    <w:rsid w:val="0053035A"/>
    <w:rsid w:val="005338EF"/>
    <w:rsid w:val="005340DD"/>
    <w:rsid w:val="00534D82"/>
    <w:rsid w:val="005356E7"/>
    <w:rsid w:val="005373A7"/>
    <w:rsid w:val="005373E8"/>
    <w:rsid w:val="005374C5"/>
    <w:rsid w:val="00537E6E"/>
    <w:rsid w:val="00540DBE"/>
    <w:rsid w:val="005418B6"/>
    <w:rsid w:val="00542C25"/>
    <w:rsid w:val="00545AA9"/>
    <w:rsid w:val="00546481"/>
    <w:rsid w:val="00546BD2"/>
    <w:rsid w:val="00546C5B"/>
    <w:rsid w:val="00550AF6"/>
    <w:rsid w:val="00550D66"/>
    <w:rsid w:val="00552D3A"/>
    <w:rsid w:val="0055509F"/>
    <w:rsid w:val="005575A0"/>
    <w:rsid w:val="00557B4E"/>
    <w:rsid w:val="00561331"/>
    <w:rsid w:val="00562525"/>
    <w:rsid w:val="00567243"/>
    <w:rsid w:val="00572E2D"/>
    <w:rsid w:val="00574443"/>
    <w:rsid w:val="00576708"/>
    <w:rsid w:val="00576920"/>
    <w:rsid w:val="00576D4E"/>
    <w:rsid w:val="005779C6"/>
    <w:rsid w:val="00577C5E"/>
    <w:rsid w:val="00580483"/>
    <w:rsid w:val="00580B86"/>
    <w:rsid w:val="00581DAF"/>
    <w:rsid w:val="00584D4E"/>
    <w:rsid w:val="005854DB"/>
    <w:rsid w:val="00587371"/>
    <w:rsid w:val="00592AA5"/>
    <w:rsid w:val="0059305F"/>
    <w:rsid w:val="0059430C"/>
    <w:rsid w:val="00594AA7"/>
    <w:rsid w:val="00594B83"/>
    <w:rsid w:val="00596CAF"/>
    <w:rsid w:val="005A0472"/>
    <w:rsid w:val="005A05CA"/>
    <w:rsid w:val="005A06CA"/>
    <w:rsid w:val="005A0745"/>
    <w:rsid w:val="005A106B"/>
    <w:rsid w:val="005A1161"/>
    <w:rsid w:val="005A136B"/>
    <w:rsid w:val="005A1A28"/>
    <w:rsid w:val="005A1F1F"/>
    <w:rsid w:val="005A20CB"/>
    <w:rsid w:val="005A5AE7"/>
    <w:rsid w:val="005A728D"/>
    <w:rsid w:val="005A757F"/>
    <w:rsid w:val="005B030E"/>
    <w:rsid w:val="005B232A"/>
    <w:rsid w:val="005B2EA9"/>
    <w:rsid w:val="005B2F45"/>
    <w:rsid w:val="005B35EE"/>
    <w:rsid w:val="005B519E"/>
    <w:rsid w:val="005B58A0"/>
    <w:rsid w:val="005B78FD"/>
    <w:rsid w:val="005B7A5F"/>
    <w:rsid w:val="005C1282"/>
    <w:rsid w:val="005C1514"/>
    <w:rsid w:val="005C1BD3"/>
    <w:rsid w:val="005C2B84"/>
    <w:rsid w:val="005C369D"/>
    <w:rsid w:val="005C42DB"/>
    <w:rsid w:val="005C4B95"/>
    <w:rsid w:val="005C6F0E"/>
    <w:rsid w:val="005C7AF6"/>
    <w:rsid w:val="005D02EA"/>
    <w:rsid w:val="005D3A0D"/>
    <w:rsid w:val="005D4D13"/>
    <w:rsid w:val="005D531E"/>
    <w:rsid w:val="005D605B"/>
    <w:rsid w:val="005D7280"/>
    <w:rsid w:val="005D766B"/>
    <w:rsid w:val="005D7CC2"/>
    <w:rsid w:val="005D7CCF"/>
    <w:rsid w:val="005D7F17"/>
    <w:rsid w:val="005D7F46"/>
    <w:rsid w:val="005E1D68"/>
    <w:rsid w:val="005E3B66"/>
    <w:rsid w:val="005E4979"/>
    <w:rsid w:val="005E6362"/>
    <w:rsid w:val="005E7D62"/>
    <w:rsid w:val="005F0C8E"/>
    <w:rsid w:val="005F1F5D"/>
    <w:rsid w:val="005F3A03"/>
    <w:rsid w:val="005F4C3D"/>
    <w:rsid w:val="005F4FB8"/>
    <w:rsid w:val="005F6192"/>
    <w:rsid w:val="005F6338"/>
    <w:rsid w:val="005F63F8"/>
    <w:rsid w:val="005F73B3"/>
    <w:rsid w:val="00602A69"/>
    <w:rsid w:val="0060533E"/>
    <w:rsid w:val="00605514"/>
    <w:rsid w:val="006063EF"/>
    <w:rsid w:val="00606A91"/>
    <w:rsid w:val="00607598"/>
    <w:rsid w:val="00610121"/>
    <w:rsid w:val="00610542"/>
    <w:rsid w:val="006107E8"/>
    <w:rsid w:val="00610DDF"/>
    <w:rsid w:val="006119EA"/>
    <w:rsid w:val="00613249"/>
    <w:rsid w:val="0061471E"/>
    <w:rsid w:val="00616F99"/>
    <w:rsid w:val="00617DEC"/>
    <w:rsid w:val="0062147B"/>
    <w:rsid w:val="00624C65"/>
    <w:rsid w:val="00627D05"/>
    <w:rsid w:val="00630C8C"/>
    <w:rsid w:val="006315B4"/>
    <w:rsid w:val="00636DED"/>
    <w:rsid w:val="00637A14"/>
    <w:rsid w:val="006403D4"/>
    <w:rsid w:val="00640667"/>
    <w:rsid w:val="00641C3F"/>
    <w:rsid w:val="00642C68"/>
    <w:rsid w:val="00646804"/>
    <w:rsid w:val="00646E39"/>
    <w:rsid w:val="006471A8"/>
    <w:rsid w:val="00647A70"/>
    <w:rsid w:val="00651584"/>
    <w:rsid w:val="00652E89"/>
    <w:rsid w:val="00655208"/>
    <w:rsid w:val="0065694B"/>
    <w:rsid w:val="00656997"/>
    <w:rsid w:val="006603F8"/>
    <w:rsid w:val="006604AC"/>
    <w:rsid w:val="006609C4"/>
    <w:rsid w:val="006609DA"/>
    <w:rsid w:val="006615A9"/>
    <w:rsid w:val="006628B1"/>
    <w:rsid w:val="00662AF9"/>
    <w:rsid w:val="00663837"/>
    <w:rsid w:val="00663CE7"/>
    <w:rsid w:val="00664B43"/>
    <w:rsid w:val="00664C23"/>
    <w:rsid w:val="00665F3F"/>
    <w:rsid w:val="006668A1"/>
    <w:rsid w:val="00667AE5"/>
    <w:rsid w:val="00670005"/>
    <w:rsid w:val="00670507"/>
    <w:rsid w:val="006709B7"/>
    <w:rsid w:val="00671E7B"/>
    <w:rsid w:val="0067259C"/>
    <w:rsid w:val="006725BB"/>
    <w:rsid w:val="00672FF8"/>
    <w:rsid w:val="006737C4"/>
    <w:rsid w:val="006738A4"/>
    <w:rsid w:val="00673F56"/>
    <w:rsid w:val="006741B8"/>
    <w:rsid w:val="006773D9"/>
    <w:rsid w:val="00677D46"/>
    <w:rsid w:val="006803FA"/>
    <w:rsid w:val="00680AF9"/>
    <w:rsid w:val="00680D42"/>
    <w:rsid w:val="006810A7"/>
    <w:rsid w:val="00681C13"/>
    <w:rsid w:val="00682C42"/>
    <w:rsid w:val="00684E45"/>
    <w:rsid w:val="00685FED"/>
    <w:rsid w:val="006870B2"/>
    <w:rsid w:val="006905CD"/>
    <w:rsid w:val="00691FFD"/>
    <w:rsid w:val="0069418F"/>
    <w:rsid w:val="006941A2"/>
    <w:rsid w:val="00696CCD"/>
    <w:rsid w:val="006A022A"/>
    <w:rsid w:val="006A0B34"/>
    <w:rsid w:val="006A18A7"/>
    <w:rsid w:val="006A20F2"/>
    <w:rsid w:val="006A26C9"/>
    <w:rsid w:val="006A4204"/>
    <w:rsid w:val="006A46DD"/>
    <w:rsid w:val="006A495A"/>
    <w:rsid w:val="006A5BAE"/>
    <w:rsid w:val="006A6F6F"/>
    <w:rsid w:val="006A7BD0"/>
    <w:rsid w:val="006B0768"/>
    <w:rsid w:val="006B08CB"/>
    <w:rsid w:val="006B1971"/>
    <w:rsid w:val="006B3197"/>
    <w:rsid w:val="006B4F0D"/>
    <w:rsid w:val="006B7520"/>
    <w:rsid w:val="006B7B89"/>
    <w:rsid w:val="006C0DA1"/>
    <w:rsid w:val="006C0FA3"/>
    <w:rsid w:val="006C1F3B"/>
    <w:rsid w:val="006C1F53"/>
    <w:rsid w:val="006C265B"/>
    <w:rsid w:val="006C5CE5"/>
    <w:rsid w:val="006C7667"/>
    <w:rsid w:val="006D0A8B"/>
    <w:rsid w:val="006D1BF8"/>
    <w:rsid w:val="006D2609"/>
    <w:rsid w:val="006D2F11"/>
    <w:rsid w:val="006D3211"/>
    <w:rsid w:val="006D36AA"/>
    <w:rsid w:val="006D3EFA"/>
    <w:rsid w:val="006D4717"/>
    <w:rsid w:val="006D4BD8"/>
    <w:rsid w:val="006D6179"/>
    <w:rsid w:val="006D6D23"/>
    <w:rsid w:val="006D7581"/>
    <w:rsid w:val="006E14F7"/>
    <w:rsid w:val="006E172A"/>
    <w:rsid w:val="006E1984"/>
    <w:rsid w:val="006E1DA1"/>
    <w:rsid w:val="006E2324"/>
    <w:rsid w:val="006E5140"/>
    <w:rsid w:val="006E6926"/>
    <w:rsid w:val="006F0D3C"/>
    <w:rsid w:val="006F14A4"/>
    <w:rsid w:val="006F2190"/>
    <w:rsid w:val="006F42A6"/>
    <w:rsid w:val="006F64C1"/>
    <w:rsid w:val="006F690E"/>
    <w:rsid w:val="006F70AA"/>
    <w:rsid w:val="0070102B"/>
    <w:rsid w:val="0070361E"/>
    <w:rsid w:val="0070369D"/>
    <w:rsid w:val="007050E2"/>
    <w:rsid w:val="00707C78"/>
    <w:rsid w:val="00710EB3"/>
    <w:rsid w:val="007151A9"/>
    <w:rsid w:val="007158FA"/>
    <w:rsid w:val="007167C3"/>
    <w:rsid w:val="00717C49"/>
    <w:rsid w:val="007208E5"/>
    <w:rsid w:val="00720E84"/>
    <w:rsid w:val="007215B7"/>
    <w:rsid w:val="00721991"/>
    <w:rsid w:val="00723794"/>
    <w:rsid w:val="0072503B"/>
    <w:rsid w:val="007250AE"/>
    <w:rsid w:val="00725FD7"/>
    <w:rsid w:val="00726F5E"/>
    <w:rsid w:val="00730066"/>
    <w:rsid w:val="00730707"/>
    <w:rsid w:val="00730F4A"/>
    <w:rsid w:val="007334EC"/>
    <w:rsid w:val="00733B68"/>
    <w:rsid w:val="00734A8C"/>
    <w:rsid w:val="00735491"/>
    <w:rsid w:val="0073742E"/>
    <w:rsid w:val="0074188B"/>
    <w:rsid w:val="00742DD0"/>
    <w:rsid w:val="007450D0"/>
    <w:rsid w:val="007453C8"/>
    <w:rsid w:val="0074625D"/>
    <w:rsid w:val="00746656"/>
    <w:rsid w:val="00747D9D"/>
    <w:rsid w:val="007507DD"/>
    <w:rsid w:val="00751EA7"/>
    <w:rsid w:val="007523C3"/>
    <w:rsid w:val="00752690"/>
    <w:rsid w:val="00752818"/>
    <w:rsid w:val="007550FB"/>
    <w:rsid w:val="007551AF"/>
    <w:rsid w:val="00756D9A"/>
    <w:rsid w:val="00760ADC"/>
    <w:rsid w:val="00760F48"/>
    <w:rsid w:val="0076215A"/>
    <w:rsid w:val="007632BE"/>
    <w:rsid w:val="00764AC3"/>
    <w:rsid w:val="007720C7"/>
    <w:rsid w:val="00772433"/>
    <w:rsid w:val="00772BF2"/>
    <w:rsid w:val="00774C8A"/>
    <w:rsid w:val="00776003"/>
    <w:rsid w:val="00777321"/>
    <w:rsid w:val="00777F4D"/>
    <w:rsid w:val="00780971"/>
    <w:rsid w:val="007828ED"/>
    <w:rsid w:val="0078477F"/>
    <w:rsid w:val="00784B2F"/>
    <w:rsid w:val="007856AC"/>
    <w:rsid w:val="007874E7"/>
    <w:rsid w:val="00791100"/>
    <w:rsid w:val="00791C50"/>
    <w:rsid w:val="00792653"/>
    <w:rsid w:val="007957D2"/>
    <w:rsid w:val="00796420"/>
    <w:rsid w:val="007A0F46"/>
    <w:rsid w:val="007A35AF"/>
    <w:rsid w:val="007A38A1"/>
    <w:rsid w:val="007A6D13"/>
    <w:rsid w:val="007A70AC"/>
    <w:rsid w:val="007B012E"/>
    <w:rsid w:val="007B0BAE"/>
    <w:rsid w:val="007B23AE"/>
    <w:rsid w:val="007B240F"/>
    <w:rsid w:val="007B35E3"/>
    <w:rsid w:val="007B43F4"/>
    <w:rsid w:val="007B47C2"/>
    <w:rsid w:val="007B4AAC"/>
    <w:rsid w:val="007B610A"/>
    <w:rsid w:val="007B68A3"/>
    <w:rsid w:val="007B68F5"/>
    <w:rsid w:val="007C217F"/>
    <w:rsid w:val="007C4BC1"/>
    <w:rsid w:val="007C53B9"/>
    <w:rsid w:val="007C5513"/>
    <w:rsid w:val="007C6031"/>
    <w:rsid w:val="007C6AE7"/>
    <w:rsid w:val="007D1D8A"/>
    <w:rsid w:val="007D1F44"/>
    <w:rsid w:val="007D2D27"/>
    <w:rsid w:val="007D5461"/>
    <w:rsid w:val="007D68FB"/>
    <w:rsid w:val="007D73E2"/>
    <w:rsid w:val="007E08B6"/>
    <w:rsid w:val="007E1E2F"/>
    <w:rsid w:val="007E21FB"/>
    <w:rsid w:val="007E254E"/>
    <w:rsid w:val="007E26AE"/>
    <w:rsid w:val="007E5261"/>
    <w:rsid w:val="007E6A23"/>
    <w:rsid w:val="007E7ABE"/>
    <w:rsid w:val="007F02FD"/>
    <w:rsid w:val="007F08FF"/>
    <w:rsid w:val="007F10CF"/>
    <w:rsid w:val="007F143D"/>
    <w:rsid w:val="007F2EF2"/>
    <w:rsid w:val="007F539B"/>
    <w:rsid w:val="007F645E"/>
    <w:rsid w:val="00800E4E"/>
    <w:rsid w:val="0080181A"/>
    <w:rsid w:val="00801B3B"/>
    <w:rsid w:val="00801C5F"/>
    <w:rsid w:val="0080441E"/>
    <w:rsid w:val="00804D21"/>
    <w:rsid w:val="0080574E"/>
    <w:rsid w:val="008062EF"/>
    <w:rsid w:val="00806E2B"/>
    <w:rsid w:val="00806EE1"/>
    <w:rsid w:val="00810548"/>
    <w:rsid w:val="0081098E"/>
    <w:rsid w:val="008125CB"/>
    <w:rsid w:val="00813346"/>
    <w:rsid w:val="00814AE2"/>
    <w:rsid w:val="00815373"/>
    <w:rsid w:val="00815F66"/>
    <w:rsid w:val="00816B2A"/>
    <w:rsid w:val="00821D0F"/>
    <w:rsid w:val="00821E4E"/>
    <w:rsid w:val="00822CFB"/>
    <w:rsid w:val="00822F33"/>
    <w:rsid w:val="008237EC"/>
    <w:rsid w:val="008242DC"/>
    <w:rsid w:val="008254E2"/>
    <w:rsid w:val="00826062"/>
    <w:rsid w:val="00827187"/>
    <w:rsid w:val="0082741D"/>
    <w:rsid w:val="00831879"/>
    <w:rsid w:val="0083237A"/>
    <w:rsid w:val="0083317E"/>
    <w:rsid w:val="00833D25"/>
    <w:rsid w:val="008357D3"/>
    <w:rsid w:val="00835A22"/>
    <w:rsid w:val="00835D29"/>
    <w:rsid w:val="008361B2"/>
    <w:rsid w:val="0083723B"/>
    <w:rsid w:val="00837707"/>
    <w:rsid w:val="00840FCD"/>
    <w:rsid w:val="00842191"/>
    <w:rsid w:val="008439D6"/>
    <w:rsid w:val="008449FB"/>
    <w:rsid w:val="00845112"/>
    <w:rsid w:val="00845D36"/>
    <w:rsid w:val="008464B7"/>
    <w:rsid w:val="0084749C"/>
    <w:rsid w:val="008476D0"/>
    <w:rsid w:val="00850270"/>
    <w:rsid w:val="008506D2"/>
    <w:rsid w:val="008513C5"/>
    <w:rsid w:val="00855BFA"/>
    <w:rsid w:val="008567E9"/>
    <w:rsid w:val="00856918"/>
    <w:rsid w:val="008576D6"/>
    <w:rsid w:val="0085776E"/>
    <w:rsid w:val="00863DBE"/>
    <w:rsid w:val="00863E2A"/>
    <w:rsid w:val="00864CF5"/>
    <w:rsid w:val="00866DF0"/>
    <w:rsid w:val="00867992"/>
    <w:rsid w:val="0087081A"/>
    <w:rsid w:val="008714B3"/>
    <w:rsid w:val="0087284B"/>
    <w:rsid w:val="008729ED"/>
    <w:rsid w:val="00873238"/>
    <w:rsid w:val="00873C67"/>
    <w:rsid w:val="00873E52"/>
    <w:rsid w:val="0087514D"/>
    <w:rsid w:val="00875AA5"/>
    <w:rsid w:val="00876A46"/>
    <w:rsid w:val="00877C95"/>
    <w:rsid w:val="0088277C"/>
    <w:rsid w:val="008852C8"/>
    <w:rsid w:val="00887337"/>
    <w:rsid w:val="008901E1"/>
    <w:rsid w:val="00891437"/>
    <w:rsid w:val="00891CA7"/>
    <w:rsid w:val="008930F2"/>
    <w:rsid w:val="00893FFA"/>
    <w:rsid w:val="0089438E"/>
    <w:rsid w:val="00894DC7"/>
    <w:rsid w:val="00897755"/>
    <w:rsid w:val="00897FB6"/>
    <w:rsid w:val="008A047A"/>
    <w:rsid w:val="008A1F88"/>
    <w:rsid w:val="008A2794"/>
    <w:rsid w:val="008A38FC"/>
    <w:rsid w:val="008A50DC"/>
    <w:rsid w:val="008A6FAF"/>
    <w:rsid w:val="008A7E29"/>
    <w:rsid w:val="008B0207"/>
    <w:rsid w:val="008B098D"/>
    <w:rsid w:val="008B19DA"/>
    <w:rsid w:val="008B1F1C"/>
    <w:rsid w:val="008B2939"/>
    <w:rsid w:val="008B2AB7"/>
    <w:rsid w:val="008B3042"/>
    <w:rsid w:val="008B4783"/>
    <w:rsid w:val="008B5837"/>
    <w:rsid w:val="008B5900"/>
    <w:rsid w:val="008B5C5D"/>
    <w:rsid w:val="008B5D83"/>
    <w:rsid w:val="008C04FC"/>
    <w:rsid w:val="008C0A44"/>
    <w:rsid w:val="008C2A95"/>
    <w:rsid w:val="008C2DDB"/>
    <w:rsid w:val="008C33E8"/>
    <w:rsid w:val="008C35D9"/>
    <w:rsid w:val="008C3DB0"/>
    <w:rsid w:val="008C7480"/>
    <w:rsid w:val="008C762A"/>
    <w:rsid w:val="008D2F26"/>
    <w:rsid w:val="008D42D0"/>
    <w:rsid w:val="008D64A6"/>
    <w:rsid w:val="008D677D"/>
    <w:rsid w:val="008D7F25"/>
    <w:rsid w:val="008E32FF"/>
    <w:rsid w:val="008E748B"/>
    <w:rsid w:val="008F0816"/>
    <w:rsid w:val="008F280C"/>
    <w:rsid w:val="008F2F28"/>
    <w:rsid w:val="008F5A62"/>
    <w:rsid w:val="008F6B81"/>
    <w:rsid w:val="008F771E"/>
    <w:rsid w:val="00900192"/>
    <w:rsid w:val="009003FB"/>
    <w:rsid w:val="009004CD"/>
    <w:rsid w:val="009006D8"/>
    <w:rsid w:val="00901004"/>
    <w:rsid w:val="009027AD"/>
    <w:rsid w:val="009034A0"/>
    <w:rsid w:val="00912141"/>
    <w:rsid w:val="009132EE"/>
    <w:rsid w:val="00915013"/>
    <w:rsid w:val="00917BD4"/>
    <w:rsid w:val="00920388"/>
    <w:rsid w:val="009204AD"/>
    <w:rsid w:val="00920516"/>
    <w:rsid w:val="00920B31"/>
    <w:rsid w:val="00921161"/>
    <w:rsid w:val="00921A35"/>
    <w:rsid w:val="0092392C"/>
    <w:rsid w:val="00923CD5"/>
    <w:rsid w:val="009242DC"/>
    <w:rsid w:val="00925CA0"/>
    <w:rsid w:val="00926558"/>
    <w:rsid w:val="009315FE"/>
    <w:rsid w:val="009320B4"/>
    <w:rsid w:val="00933A22"/>
    <w:rsid w:val="00935B5E"/>
    <w:rsid w:val="00935FEB"/>
    <w:rsid w:val="00941EB0"/>
    <w:rsid w:val="00942D14"/>
    <w:rsid w:val="00943B6D"/>
    <w:rsid w:val="00944247"/>
    <w:rsid w:val="00944DAE"/>
    <w:rsid w:val="009459A4"/>
    <w:rsid w:val="00945FF5"/>
    <w:rsid w:val="00947924"/>
    <w:rsid w:val="00952774"/>
    <w:rsid w:val="00952C3B"/>
    <w:rsid w:val="00954976"/>
    <w:rsid w:val="00955B28"/>
    <w:rsid w:val="00956482"/>
    <w:rsid w:val="00957976"/>
    <w:rsid w:val="00961A79"/>
    <w:rsid w:val="00964616"/>
    <w:rsid w:val="0096464F"/>
    <w:rsid w:val="00965D2B"/>
    <w:rsid w:val="00967EA8"/>
    <w:rsid w:val="00970781"/>
    <w:rsid w:val="0097108E"/>
    <w:rsid w:val="00971373"/>
    <w:rsid w:val="00973973"/>
    <w:rsid w:val="00975C55"/>
    <w:rsid w:val="00975F8D"/>
    <w:rsid w:val="009776B9"/>
    <w:rsid w:val="00977EAB"/>
    <w:rsid w:val="00977F6C"/>
    <w:rsid w:val="00981137"/>
    <w:rsid w:val="0098674B"/>
    <w:rsid w:val="0099277D"/>
    <w:rsid w:val="009929A2"/>
    <w:rsid w:val="00994C72"/>
    <w:rsid w:val="00995C58"/>
    <w:rsid w:val="00996196"/>
    <w:rsid w:val="00996AFF"/>
    <w:rsid w:val="009A2DA4"/>
    <w:rsid w:val="009A2F86"/>
    <w:rsid w:val="009A33BD"/>
    <w:rsid w:val="009A55C5"/>
    <w:rsid w:val="009B048D"/>
    <w:rsid w:val="009B116E"/>
    <w:rsid w:val="009B195B"/>
    <w:rsid w:val="009B1D05"/>
    <w:rsid w:val="009B242B"/>
    <w:rsid w:val="009B32D9"/>
    <w:rsid w:val="009B4B03"/>
    <w:rsid w:val="009B6A74"/>
    <w:rsid w:val="009B7875"/>
    <w:rsid w:val="009C3F7A"/>
    <w:rsid w:val="009C4852"/>
    <w:rsid w:val="009C4EBF"/>
    <w:rsid w:val="009C5F35"/>
    <w:rsid w:val="009C683E"/>
    <w:rsid w:val="009D1667"/>
    <w:rsid w:val="009D4446"/>
    <w:rsid w:val="009D474E"/>
    <w:rsid w:val="009D4B16"/>
    <w:rsid w:val="009D5B64"/>
    <w:rsid w:val="009D6981"/>
    <w:rsid w:val="009E13F3"/>
    <w:rsid w:val="009E2EE9"/>
    <w:rsid w:val="009E55B5"/>
    <w:rsid w:val="009E6032"/>
    <w:rsid w:val="009E6813"/>
    <w:rsid w:val="009E6D7E"/>
    <w:rsid w:val="009E78B7"/>
    <w:rsid w:val="009F1B39"/>
    <w:rsid w:val="009F23B2"/>
    <w:rsid w:val="009F2509"/>
    <w:rsid w:val="009F5C81"/>
    <w:rsid w:val="009F6EC3"/>
    <w:rsid w:val="00A0065B"/>
    <w:rsid w:val="00A006BA"/>
    <w:rsid w:val="00A01F1B"/>
    <w:rsid w:val="00A03A60"/>
    <w:rsid w:val="00A0442A"/>
    <w:rsid w:val="00A04D95"/>
    <w:rsid w:val="00A06FF5"/>
    <w:rsid w:val="00A07050"/>
    <w:rsid w:val="00A10D53"/>
    <w:rsid w:val="00A1208A"/>
    <w:rsid w:val="00A179F7"/>
    <w:rsid w:val="00A22082"/>
    <w:rsid w:val="00A2256F"/>
    <w:rsid w:val="00A226AD"/>
    <w:rsid w:val="00A22973"/>
    <w:rsid w:val="00A22C1A"/>
    <w:rsid w:val="00A22E3F"/>
    <w:rsid w:val="00A23ABD"/>
    <w:rsid w:val="00A24A02"/>
    <w:rsid w:val="00A24D8E"/>
    <w:rsid w:val="00A26213"/>
    <w:rsid w:val="00A27375"/>
    <w:rsid w:val="00A2780B"/>
    <w:rsid w:val="00A31959"/>
    <w:rsid w:val="00A32E93"/>
    <w:rsid w:val="00A35DFF"/>
    <w:rsid w:val="00A36295"/>
    <w:rsid w:val="00A3711E"/>
    <w:rsid w:val="00A37C29"/>
    <w:rsid w:val="00A40882"/>
    <w:rsid w:val="00A40B45"/>
    <w:rsid w:val="00A4153A"/>
    <w:rsid w:val="00A41621"/>
    <w:rsid w:val="00A418D5"/>
    <w:rsid w:val="00A42077"/>
    <w:rsid w:val="00A4231B"/>
    <w:rsid w:val="00A43DA1"/>
    <w:rsid w:val="00A45726"/>
    <w:rsid w:val="00A46532"/>
    <w:rsid w:val="00A508D2"/>
    <w:rsid w:val="00A51B2B"/>
    <w:rsid w:val="00A522C5"/>
    <w:rsid w:val="00A52704"/>
    <w:rsid w:val="00A52981"/>
    <w:rsid w:val="00A52E2A"/>
    <w:rsid w:val="00A53BF9"/>
    <w:rsid w:val="00A551D9"/>
    <w:rsid w:val="00A6110B"/>
    <w:rsid w:val="00A611E3"/>
    <w:rsid w:val="00A615CF"/>
    <w:rsid w:val="00A624B0"/>
    <w:rsid w:val="00A63E66"/>
    <w:rsid w:val="00A67BD1"/>
    <w:rsid w:val="00A67D7A"/>
    <w:rsid w:val="00A703C9"/>
    <w:rsid w:val="00A70544"/>
    <w:rsid w:val="00A73A7F"/>
    <w:rsid w:val="00A74722"/>
    <w:rsid w:val="00A7659B"/>
    <w:rsid w:val="00A7676A"/>
    <w:rsid w:val="00A80083"/>
    <w:rsid w:val="00A816C3"/>
    <w:rsid w:val="00A822C3"/>
    <w:rsid w:val="00A82D1E"/>
    <w:rsid w:val="00A838F1"/>
    <w:rsid w:val="00A8529D"/>
    <w:rsid w:val="00A91537"/>
    <w:rsid w:val="00A92A50"/>
    <w:rsid w:val="00A94156"/>
    <w:rsid w:val="00A94942"/>
    <w:rsid w:val="00A952D7"/>
    <w:rsid w:val="00A95BA1"/>
    <w:rsid w:val="00A964CD"/>
    <w:rsid w:val="00A979A2"/>
    <w:rsid w:val="00A97F6D"/>
    <w:rsid w:val="00AA15A9"/>
    <w:rsid w:val="00AA1E30"/>
    <w:rsid w:val="00AA24C3"/>
    <w:rsid w:val="00AA548F"/>
    <w:rsid w:val="00AA590C"/>
    <w:rsid w:val="00AA5D65"/>
    <w:rsid w:val="00AA65AD"/>
    <w:rsid w:val="00AA65F7"/>
    <w:rsid w:val="00AB0FA6"/>
    <w:rsid w:val="00AB54C3"/>
    <w:rsid w:val="00AB54D7"/>
    <w:rsid w:val="00AC05A2"/>
    <w:rsid w:val="00AC06AF"/>
    <w:rsid w:val="00AC0CAF"/>
    <w:rsid w:val="00AC3F38"/>
    <w:rsid w:val="00AC400D"/>
    <w:rsid w:val="00AC4CD9"/>
    <w:rsid w:val="00AC6502"/>
    <w:rsid w:val="00AD0231"/>
    <w:rsid w:val="00AD176E"/>
    <w:rsid w:val="00AD2010"/>
    <w:rsid w:val="00AD2A44"/>
    <w:rsid w:val="00AE1261"/>
    <w:rsid w:val="00AE18CB"/>
    <w:rsid w:val="00AE25BE"/>
    <w:rsid w:val="00AE444E"/>
    <w:rsid w:val="00AE4D7D"/>
    <w:rsid w:val="00AE5AAE"/>
    <w:rsid w:val="00AE61AA"/>
    <w:rsid w:val="00AE62BC"/>
    <w:rsid w:val="00AE7BCE"/>
    <w:rsid w:val="00AF0029"/>
    <w:rsid w:val="00AF0B99"/>
    <w:rsid w:val="00AF1F1E"/>
    <w:rsid w:val="00AF323D"/>
    <w:rsid w:val="00AF3312"/>
    <w:rsid w:val="00AF376E"/>
    <w:rsid w:val="00AF566D"/>
    <w:rsid w:val="00AF5B4C"/>
    <w:rsid w:val="00AF736A"/>
    <w:rsid w:val="00AF79F4"/>
    <w:rsid w:val="00B045B0"/>
    <w:rsid w:val="00B06DC1"/>
    <w:rsid w:val="00B0715E"/>
    <w:rsid w:val="00B07177"/>
    <w:rsid w:val="00B108C3"/>
    <w:rsid w:val="00B114EB"/>
    <w:rsid w:val="00B11F5F"/>
    <w:rsid w:val="00B12ACA"/>
    <w:rsid w:val="00B134A2"/>
    <w:rsid w:val="00B13EE0"/>
    <w:rsid w:val="00B13F0D"/>
    <w:rsid w:val="00B14483"/>
    <w:rsid w:val="00B1671C"/>
    <w:rsid w:val="00B171CA"/>
    <w:rsid w:val="00B1727A"/>
    <w:rsid w:val="00B20D03"/>
    <w:rsid w:val="00B210F5"/>
    <w:rsid w:val="00B21A0B"/>
    <w:rsid w:val="00B2424D"/>
    <w:rsid w:val="00B256F2"/>
    <w:rsid w:val="00B2631A"/>
    <w:rsid w:val="00B26560"/>
    <w:rsid w:val="00B27AFD"/>
    <w:rsid w:val="00B3044C"/>
    <w:rsid w:val="00B30D23"/>
    <w:rsid w:val="00B337BB"/>
    <w:rsid w:val="00B33A7D"/>
    <w:rsid w:val="00B35078"/>
    <w:rsid w:val="00B37898"/>
    <w:rsid w:val="00B41322"/>
    <w:rsid w:val="00B43AB4"/>
    <w:rsid w:val="00B44811"/>
    <w:rsid w:val="00B44CAD"/>
    <w:rsid w:val="00B47B37"/>
    <w:rsid w:val="00B5248C"/>
    <w:rsid w:val="00B52C41"/>
    <w:rsid w:val="00B5316B"/>
    <w:rsid w:val="00B5383E"/>
    <w:rsid w:val="00B56952"/>
    <w:rsid w:val="00B60758"/>
    <w:rsid w:val="00B6121E"/>
    <w:rsid w:val="00B64F1D"/>
    <w:rsid w:val="00B66A7B"/>
    <w:rsid w:val="00B67447"/>
    <w:rsid w:val="00B677B9"/>
    <w:rsid w:val="00B67A93"/>
    <w:rsid w:val="00B67CE8"/>
    <w:rsid w:val="00B67DCA"/>
    <w:rsid w:val="00B7059A"/>
    <w:rsid w:val="00B707DF"/>
    <w:rsid w:val="00B72784"/>
    <w:rsid w:val="00B74CE5"/>
    <w:rsid w:val="00B75AFA"/>
    <w:rsid w:val="00B77AAE"/>
    <w:rsid w:val="00B811FD"/>
    <w:rsid w:val="00B81221"/>
    <w:rsid w:val="00B813FB"/>
    <w:rsid w:val="00B827F7"/>
    <w:rsid w:val="00B82D15"/>
    <w:rsid w:val="00B84771"/>
    <w:rsid w:val="00B874D4"/>
    <w:rsid w:val="00B906BF"/>
    <w:rsid w:val="00B90918"/>
    <w:rsid w:val="00B90AB0"/>
    <w:rsid w:val="00B90D2B"/>
    <w:rsid w:val="00B91776"/>
    <w:rsid w:val="00B93716"/>
    <w:rsid w:val="00B9381D"/>
    <w:rsid w:val="00B941AC"/>
    <w:rsid w:val="00B960A3"/>
    <w:rsid w:val="00B96494"/>
    <w:rsid w:val="00B9768A"/>
    <w:rsid w:val="00BA2A4E"/>
    <w:rsid w:val="00BA5088"/>
    <w:rsid w:val="00BA54B6"/>
    <w:rsid w:val="00BA5794"/>
    <w:rsid w:val="00BA5823"/>
    <w:rsid w:val="00BB0722"/>
    <w:rsid w:val="00BB0E44"/>
    <w:rsid w:val="00BB1A7D"/>
    <w:rsid w:val="00BB2457"/>
    <w:rsid w:val="00BB25B5"/>
    <w:rsid w:val="00BB2809"/>
    <w:rsid w:val="00BB4AA1"/>
    <w:rsid w:val="00BB4F69"/>
    <w:rsid w:val="00BB5FC0"/>
    <w:rsid w:val="00BB6E3C"/>
    <w:rsid w:val="00BB7402"/>
    <w:rsid w:val="00BB7DE8"/>
    <w:rsid w:val="00BB7F84"/>
    <w:rsid w:val="00BC01B5"/>
    <w:rsid w:val="00BC0474"/>
    <w:rsid w:val="00BC0888"/>
    <w:rsid w:val="00BC22C0"/>
    <w:rsid w:val="00BC23C3"/>
    <w:rsid w:val="00BC3001"/>
    <w:rsid w:val="00BC631B"/>
    <w:rsid w:val="00BC77D1"/>
    <w:rsid w:val="00BD1755"/>
    <w:rsid w:val="00BD1A77"/>
    <w:rsid w:val="00BD3086"/>
    <w:rsid w:val="00BD5A00"/>
    <w:rsid w:val="00BD66B9"/>
    <w:rsid w:val="00BD68EB"/>
    <w:rsid w:val="00BD7563"/>
    <w:rsid w:val="00BD7860"/>
    <w:rsid w:val="00BD7A82"/>
    <w:rsid w:val="00BE0C29"/>
    <w:rsid w:val="00BE247E"/>
    <w:rsid w:val="00BE271C"/>
    <w:rsid w:val="00BE2F6F"/>
    <w:rsid w:val="00BE48FE"/>
    <w:rsid w:val="00BE4FDE"/>
    <w:rsid w:val="00BE566A"/>
    <w:rsid w:val="00BE71BA"/>
    <w:rsid w:val="00BF0E49"/>
    <w:rsid w:val="00BF1E0E"/>
    <w:rsid w:val="00BF23A6"/>
    <w:rsid w:val="00BF382C"/>
    <w:rsid w:val="00BF53FE"/>
    <w:rsid w:val="00BF7C34"/>
    <w:rsid w:val="00C016F5"/>
    <w:rsid w:val="00C01BF5"/>
    <w:rsid w:val="00C070A6"/>
    <w:rsid w:val="00C070B9"/>
    <w:rsid w:val="00C10978"/>
    <w:rsid w:val="00C11734"/>
    <w:rsid w:val="00C149ED"/>
    <w:rsid w:val="00C14B33"/>
    <w:rsid w:val="00C16158"/>
    <w:rsid w:val="00C170A9"/>
    <w:rsid w:val="00C17957"/>
    <w:rsid w:val="00C17AE5"/>
    <w:rsid w:val="00C17B15"/>
    <w:rsid w:val="00C2073C"/>
    <w:rsid w:val="00C22F46"/>
    <w:rsid w:val="00C264CB"/>
    <w:rsid w:val="00C310CB"/>
    <w:rsid w:val="00C34C10"/>
    <w:rsid w:val="00C37E17"/>
    <w:rsid w:val="00C40F86"/>
    <w:rsid w:val="00C468F4"/>
    <w:rsid w:val="00C4709A"/>
    <w:rsid w:val="00C4767E"/>
    <w:rsid w:val="00C47C5C"/>
    <w:rsid w:val="00C501BE"/>
    <w:rsid w:val="00C5026A"/>
    <w:rsid w:val="00C50EE9"/>
    <w:rsid w:val="00C51000"/>
    <w:rsid w:val="00C518B3"/>
    <w:rsid w:val="00C51D25"/>
    <w:rsid w:val="00C528B6"/>
    <w:rsid w:val="00C53227"/>
    <w:rsid w:val="00C5323E"/>
    <w:rsid w:val="00C53DDC"/>
    <w:rsid w:val="00C54B10"/>
    <w:rsid w:val="00C55727"/>
    <w:rsid w:val="00C55C77"/>
    <w:rsid w:val="00C56AA5"/>
    <w:rsid w:val="00C61504"/>
    <w:rsid w:val="00C641AC"/>
    <w:rsid w:val="00C6463C"/>
    <w:rsid w:val="00C64EED"/>
    <w:rsid w:val="00C65558"/>
    <w:rsid w:val="00C667CC"/>
    <w:rsid w:val="00C66FF8"/>
    <w:rsid w:val="00C722AE"/>
    <w:rsid w:val="00C73DD6"/>
    <w:rsid w:val="00C7579E"/>
    <w:rsid w:val="00C75C1C"/>
    <w:rsid w:val="00C77DF4"/>
    <w:rsid w:val="00C81339"/>
    <w:rsid w:val="00C82271"/>
    <w:rsid w:val="00C8245C"/>
    <w:rsid w:val="00C82CC5"/>
    <w:rsid w:val="00C8496B"/>
    <w:rsid w:val="00C856F7"/>
    <w:rsid w:val="00C86607"/>
    <w:rsid w:val="00C90CD0"/>
    <w:rsid w:val="00C90D9F"/>
    <w:rsid w:val="00C911F3"/>
    <w:rsid w:val="00C91BDF"/>
    <w:rsid w:val="00C921B8"/>
    <w:rsid w:val="00C92410"/>
    <w:rsid w:val="00C92AB2"/>
    <w:rsid w:val="00C93E7F"/>
    <w:rsid w:val="00C96AE0"/>
    <w:rsid w:val="00C97D63"/>
    <w:rsid w:val="00CA1148"/>
    <w:rsid w:val="00CA1863"/>
    <w:rsid w:val="00CA3986"/>
    <w:rsid w:val="00CA54BC"/>
    <w:rsid w:val="00CA5A97"/>
    <w:rsid w:val="00CA5EF0"/>
    <w:rsid w:val="00CA6674"/>
    <w:rsid w:val="00CA6A49"/>
    <w:rsid w:val="00CB1F55"/>
    <w:rsid w:val="00CB22D8"/>
    <w:rsid w:val="00CB24E5"/>
    <w:rsid w:val="00CB2B88"/>
    <w:rsid w:val="00CB2C24"/>
    <w:rsid w:val="00CB2F80"/>
    <w:rsid w:val="00CB38C2"/>
    <w:rsid w:val="00CB42E0"/>
    <w:rsid w:val="00CB7660"/>
    <w:rsid w:val="00CC036A"/>
    <w:rsid w:val="00CC38D2"/>
    <w:rsid w:val="00CC3E53"/>
    <w:rsid w:val="00CC4204"/>
    <w:rsid w:val="00CC58E2"/>
    <w:rsid w:val="00CC74B7"/>
    <w:rsid w:val="00CD0DF9"/>
    <w:rsid w:val="00CD2999"/>
    <w:rsid w:val="00CD436C"/>
    <w:rsid w:val="00CD69FA"/>
    <w:rsid w:val="00CD71DD"/>
    <w:rsid w:val="00CD7227"/>
    <w:rsid w:val="00CE27C2"/>
    <w:rsid w:val="00CE291F"/>
    <w:rsid w:val="00CE3980"/>
    <w:rsid w:val="00CE3CBA"/>
    <w:rsid w:val="00CE4478"/>
    <w:rsid w:val="00CE4548"/>
    <w:rsid w:val="00CE564E"/>
    <w:rsid w:val="00CE5C94"/>
    <w:rsid w:val="00CE609B"/>
    <w:rsid w:val="00CE6833"/>
    <w:rsid w:val="00CE6D10"/>
    <w:rsid w:val="00CF117F"/>
    <w:rsid w:val="00CF13A2"/>
    <w:rsid w:val="00CF184E"/>
    <w:rsid w:val="00CF2DD7"/>
    <w:rsid w:val="00CF3066"/>
    <w:rsid w:val="00CF5B74"/>
    <w:rsid w:val="00CF5D01"/>
    <w:rsid w:val="00CF6688"/>
    <w:rsid w:val="00CF7E96"/>
    <w:rsid w:val="00D00EA5"/>
    <w:rsid w:val="00D00F8C"/>
    <w:rsid w:val="00D02E52"/>
    <w:rsid w:val="00D036EC"/>
    <w:rsid w:val="00D0375D"/>
    <w:rsid w:val="00D0466D"/>
    <w:rsid w:val="00D11E42"/>
    <w:rsid w:val="00D12080"/>
    <w:rsid w:val="00D13F28"/>
    <w:rsid w:val="00D14052"/>
    <w:rsid w:val="00D14B41"/>
    <w:rsid w:val="00D1523E"/>
    <w:rsid w:val="00D1615A"/>
    <w:rsid w:val="00D17A11"/>
    <w:rsid w:val="00D17FE9"/>
    <w:rsid w:val="00D20034"/>
    <w:rsid w:val="00D214D2"/>
    <w:rsid w:val="00D24617"/>
    <w:rsid w:val="00D24BCE"/>
    <w:rsid w:val="00D2544E"/>
    <w:rsid w:val="00D25CCA"/>
    <w:rsid w:val="00D269E0"/>
    <w:rsid w:val="00D272D1"/>
    <w:rsid w:val="00D30928"/>
    <w:rsid w:val="00D34F4B"/>
    <w:rsid w:val="00D35D4A"/>
    <w:rsid w:val="00D36294"/>
    <w:rsid w:val="00D36C96"/>
    <w:rsid w:val="00D41581"/>
    <w:rsid w:val="00D4208A"/>
    <w:rsid w:val="00D427CA"/>
    <w:rsid w:val="00D42826"/>
    <w:rsid w:val="00D434F5"/>
    <w:rsid w:val="00D443D8"/>
    <w:rsid w:val="00D4477B"/>
    <w:rsid w:val="00D468E0"/>
    <w:rsid w:val="00D46B64"/>
    <w:rsid w:val="00D478A1"/>
    <w:rsid w:val="00D47B30"/>
    <w:rsid w:val="00D50D4C"/>
    <w:rsid w:val="00D516BE"/>
    <w:rsid w:val="00D53669"/>
    <w:rsid w:val="00D542B4"/>
    <w:rsid w:val="00D54485"/>
    <w:rsid w:val="00D557A0"/>
    <w:rsid w:val="00D56A4B"/>
    <w:rsid w:val="00D60DB8"/>
    <w:rsid w:val="00D61378"/>
    <w:rsid w:val="00D6291E"/>
    <w:rsid w:val="00D63541"/>
    <w:rsid w:val="00D6403F"/>
    <w:rsid w:val="00D640DB"/>
    <w:rsid w:val="00D647B4"/>
    <w:rsid w:val="00D653C9"/>
    <w:rsid w:val="00D66A2F"/>
    <w:rsid w:val="00D72F30"/>
    <w:rsid w:val="00D73469"/>
    <w:rsid w:val="00D734DC"/>
    <w:rsid w:val="00D73B99"/>
    <w:rsid w:val="00D7485B"/>
    <w:rsid w:val="00D75346"/>
    <w:rsid w:val="00D76615"/>
    <w:rsid w:val="00D77AFE"/>
    <w:rsid w:val="00D8104C"/>
    <w:rsid w:val="00D81696"/>
    <w:rsid w:val="00D81E9F"/>
    <w:rsid w:val="00D8262A"/>
    <w:rsid w:val="00D82F63"/>
    <w:rsid w:val="00D83062"/>
    <w:rsid w:val="00D83A07"/>
    <w:rsid w:val="00D846F4"/>
    <w:rsid w:val="00D853C7"/>
    <w:rsid w:val="00D85A0E"/>
    <w:rsid w:val="00D863DC"/>
    <w:rsid w:val="00D86590"/>
    <w:rsid w:val="00D87C0D"/>
    <w:rsid w:val="00D90418"/>
    <w:rsid w:val="00D90F53"/>
    <w:rsid w:val="00D92D3A"/>
    <w:rsid w:val="00D92F11"/>
    <w:rsid w:val="00D93AA4"/>
    <w:rsid w:val="00D94E24"/>
    <w:rsid w:val="00D95B6B"/>
    <w:rsid w:val="00DA0AB0"/>
    <w:rsid w:val="00DA13E8"/>
    <w:rsid w:val="00DA2ED5"/>
    <w:rsid w:val="00DA38B6"/>
    <w:rsid w:val="00DA41F7"/>
    <w:rsid w:val="00DA4F04"/>
    <w:rsid w:val="00DA526C"/>
    <w:rsid w:val="00DA6FF8"/>
    <w:rsid w:val="00DA78EC"/>
    <w:rsid w:val="00DA7EB1"/>
    <w:rsid w:val="00DB01F9"/>
    <w:rsid w:val="00DB28A1"/>
    <w:rsid w:val="00DB4327"/>
    <w:rsid w:val="00DB5728"/>
    <w:rsid w:val="00DB6583"/>
    <w:rsid w:val="00DB68A2"/>
    <w:rsid w:val="00DB7F3B"/>
    <w:rsid w:val="00DC1FDA"/>
    <w:rsid w:val="00DC3337"/>
    <w:rsid w:val="00DC422D"/>
    <w:rsid w:val="00DC50FF"/>
    <w:rsid w:val="00DC5192"/>
    <w:rsid w:val="00DC6140"/>
    <w:rsid w:val="00DC7EB6"/>
    <w:rsid w:val="00DD00DE"/>
    <w:rsid w:val="00DD02F8"/>
    <w:rsid w:val="00DD1231"/>
    <w:rsid w:val="00DD371D"/>
    <w:rsid w:val="00DD3EE0"/>
    <w:rsid w:val="00DE01CF"/>
    <w:rsid w:val="00DE0531"/>
    <w:rsid w:val="00DE3315"/>
    <w:rsid w:val="00DE4ABE"/>
    <w:rsid w:val="00DE5E83"/>
    <w:rsid w:val="00DE5F58"/>
    <w:rsid w:val="00DE5FB0"/>
    <w:rsid w:val="00DE7BBC"/>
    <w:rsid w:val="00DF3906"/>
    <w:rsid w:val="00DF5936"/>
    <w:rsid w:val="00DF642E"/>
    <w:rsid w:val="00E02F0B"/>
    <w:rsid w:val="00E039DF"/>
    <w:rsid w:val="00E0448C"/>
    <w:rsid w:val="00E06E3A"/>
    <w:rsid w:val="00E10158"/>
    <w:rsid w:val="00E10C9C"/>
    <w:rsid w:val="00E133C1"/>
    <w:rsid w:val="00E1445F"/>
    <w:rsid w:val="00E1540A"/>
    <w:rsid w:val="00E17EB2"/>
    <w:rsid w:val="00E20DFE"/>
    <w:rsid w:val="00E217F9"/>
    <w:rsid w:val="00E21E4C"/>
    <w:rsid w:val="00E229F1"/>
    <w:rsid w:val="00E22DBD"/>
    <w:rsid w:val="00E242CB"/>
    <w:rsid w:val="00E24E7B"/>
    <w:rsid w:val="00E26580"/>
    <w:rsid w:val="00E26713"/>
    <w:rsid w:val="00E300CA"/>
    <w:rsid w:val="00E31C74"/>
    <w:rsid w:val="00E31FA7"/>
    <w:rsid w:val="00E32DF8"/>
    <w:rsid w:val="00E34DF2"/>
    <w:rsid w:val="00E360E2"/>
    <w:rsid w:val="00E364D1"/>
    <w:rsid w:val="00E36694"/>
    <w:rsid w:val="00E37C17"/>
    <w:rsid w:val="00E37CFB"/>
    <w:rsid w:val="00E444D7"/>
    <w:rsid w:val="00E45434"/>
    <w:rsid w:val="00E4575F"/>
    <w:rsid w:val="00E5159D"/>
    <w:rsid w:val="00E54FD4"/>
    <w:rsid w:val="00E55392"/>
    <w:rsid w:val="00E561C6"/>
    <w:rsid w:val="00E56FA0"/>
    <w:rsid w:val="00E5748C"/>
    <w:rsid w:val="00E574EA"/>
    <w:rsid w:val="00E61582"/>
    <w:rsid w:val="00E636C0"/>
    <w:rsid w:val="00E640E1"/>
    <w:rsid w:val="00E647F2"/>
    <w:rsid w:val="00E657DD"/>
    <w:rsid w:val="00E66B12"/>
    <w:rsid w:val="00E707F2"/>
    <w:rsid w:val="00E713E8"/>
    <w:rsid w:val="00E72268"/>
    <w:rsid w:val="00E74927"/>
    <w:rsid w:val="00E75B08"/>
    <w:rsid w:val="00E77A60"/>
    <w:rsid w:val="00E77B85"/>
    <w:rsid w:val="00E80341"/>
    <w:rsid w:val="00E80BEF"/>
    <w:rsid w:val="00E819F7"/>
    <w:rsid w:val="00E832F9"/>
    <w:rsid w:val="00E83484"/>
    <w:rsid w:val="00E83FC9"/>
    <w:rsid w:val="00E847A2"/>
    <w:rsid w:val="00E84D45"/>
    <w:rsid w:val="00E850FE"/>
    <w:rsid w:val="00E86643"/>
    <w:rsid w:val="00E90726"/>
    <w:rsid w:val="00E90F65"/>
    <w:rsid w:val="00E925B2"/>
    <w:rsid w:val="00E92E85"/>
    <w:rsid w:val="00E93A94"/>
    <w:rsid w:val="00E945C3"/>
    <w:rsid w:val="00E94B0E"/>
    <w:rsid w:val="00E959DE"/>
    <w:rsid w:val="00E95CB6"/>
    <w:rsid w:val="00E96D42"/>
    <w:rsid w:val="00E97943"/>
    <w:rsid w:val="00EA0553"/>
    <w:rsid w:val="00EA1446"/>
    <w:rsid w:val="00EA1E50"/>
    <w:rsid w:val="00EA4CA8"/>
    <w:rsid w:val="00EA4F0C"/>
    <w:rsid w:val="00EA6607"/>
    <w:rsid w:val="00EA75DE"/>
    <w:rsid w:val="00EB0B00"/>
    <w:rsid w:val="00EB11A1"/>
    <w:rsid w:val="00EB1DFC"/>
    <w:rsid w:val="00EB22B6"/>
    <w:rsid w:val="00EB2509"/>
    <w:rsid w:val="00EB3D84"/>
    <w:rsid w:val="00EB4683"/>
    <w:rsid w:val="00EB563E"/>
    <w:rsid w:val="00EB6412"/>
    <w:rsid w:val="00EB73A0"/>
    <w:rsid w:val="00EC0BFC"/>
    <w:rsid w:val="00EC1D94"/>
    <w:rsid w:val="00EC2EF1"/>
    <w:rsid w:val="00EC4716"/>
    <w:rsid w:val="00EC53F7"/>
    <w:rsid w:val="00EC6F97"/>
    <w:rsid w:val="00EC7AFC"/>
    <w:rsid w:val="00ED0E91"/>
    <w:rsid w:val="00ED0F1B"/>
    <w:rsid w:val="00ED10D8"/>
    <w:rsid w:val="00ED3486"/>
    <w:rsid w:val="00ED5637"/>
    <w:rsid w:val="00EE1B74"/>
    <w:rsid w:val="00EE2D72"/>
    <w:rsid w:val="00EE3331"/>
    <w:rsid w:val="00EE50C0"/>
    <w:rsid w:val="00EE6B92"/>
    <w:rsid w:val="00EE6BD0"/>
    <w:rsid w:val="00EF49A5"/>
    <w:rsid w:val="00EF5E35"/>
    <w:rsid w:val="00F012C4"/>
    <w:rsid w:val="00F01A12"/>
    <w:rsid w:val="00F01A69"/>
    <w:rsid w:val="00F027A2"/>
    <w:rsid w:val="00F02A0B"/>
    <w:rsid w:val="00F031D6"/>
    <w:rsid w:val="00F03BF2"/>
    <w:rsid w:val="00F04996"/>
    <w:rsid w:val="00F05D40"/>
    <w:rsid w:val="00F06258"/>
    <w:rsid w:val="00F064DC"/>
    <w:rsid w:val="00F070C1"/>
    <w:rsid w:val="00F078CE"/>
    <w:rsid w:val="00F106B6"/>
    <w:rsid w:val="00F106C3"/>
    <w:rsid w:val="00F11A45"/>
    <w:rsid w:val="00F12E10"/>
    <w:rsid w:val="00F137A7"/>
    <w:rsid w:val="00F140C1"/>
    <w:rsid w:val="00F1615F"/>
    <w:rsid w:val="00F20290"/>
    <w:rsid w:val="00F203DB"/>
    <w:rsid w:val="00F24250"/>
    <w:rsid w:val="00F25854"/>
    <w:rsid w:val="00F25C2A"/>
    <w:rsid w:val="00F25E8B"/>
    <w:rsid w:val="00F266AE"/>
    <w:rsid w:val="00F2717E"/>
    <w:rsid w:val="00F34F0D"/>
    <w:rsid w:val="00F373D7"/>
    <w:rsid w:val="00F411EF"/>
    <w:rsid w:val="00F41E88"/>
    <w:rsid w:val="00F42619"/>
    <w:rsid w:val="00F4444F"/>
    <w:rsid w:val="00F46CBC"/>
    <w:rsid w:val="00F46D44"/>
    <w:rsid w:val="00F47888"/>
    <w:rsid w:val="00F47A37"/>
    <w:rsid w:val="00F50061"/>
    <w:rsid w:val="00F5103F"/>
    <w:rsid w:val="00F520E9"/>
    <w:rsid w:val="00F525FB"/>
    <w:rsid w:val="00F53335"/>
    <w:rsid w:val="00F53CAC"/>
    <w:rsid w:val="00F54DD6"/>
    <w:rsid w:val="00F55169"/>
    <w:rsid w:val="00F560AC"/>
    <w:rsid w:val="00F620AA"/>
    <w:rsid w:val="00F62A71"/>
    <w:rsid w:val="00F639A2"/>
    <w:rsid w:val="00F64380"/>
    <w:rsid w:val="00F65D48"/>
    <w:rsid w:val="00F663F4"/>
    <w:rsid w:val="00F66FDB"/>
    <w:rsid w:val="00F67F7D"/>
    <w:rsid w:val="00F7270D"/>
    <w:rsid w:val="00F72FF5"/>
    <w:rsid w:val="00F74289"/>
    <w:rsid w:val="00F749B5"/>
    <w:rsid w:val="00F75F01"/>
    <w:rsid w:val="00F77EA6"/>
    <w:rsid w:val="00F808A0"/>
    <w:rsid w:val="00F81FCE"/>
    <w:rsid w:val="00F83B81"/>
    <w:rsid w:val="00F84580"/>
    <w:rsid w:val="00F84690"/>
    <w:rsid w:val="00F8571B"/>
    <w:rsid w:val="00F9257E"/>
    <w:rsid w:val="00F9455E"/>
    <w:rsid w:val="00F96759"/>
    <w:rsid w:val="00FA2B4B"/>
    <w:rsid w:val="00FA3888"/>
    <w:rsid w:val="00FA3FD4"/>
    <w:rsid w:val="00FA451A"/>
    <w:rsid w:val="00FA5915"/>
    <w:rsid w:val="00FA76C9"/>
    <w:rsid w:val="00FB02B0"/>
    <w:rsid w:val="00FB090F"/>
    <w:rsid w:val="00FB24E7"/>
    <w:rsid w:val="00FB2D5D"/>
    <w:rsid w:val="00FB340B"/>
    <w:rsid w:val="00FB4431"/>
    <w:rsid w:val="00FB61D1"/>
    <w:rsid w:val="00FB698D"/>
    <w:rsid w:val="00FB761F"/>
    <w:rsid w:val="00FB7AF1"/>
    <w:rsid w:val="00FB7E9A"/>
    <w:rsid w:val="00FC00F5"/>
    <w:rsid w:val="00FC06FC"/>
    <w:rsid w:val="00FC152B"/>
    <w:rsid w:val="00FC179D"/>
    <w:rsid w:val="00FC1C26"/>
    <w:rsid w:val="00FC1E87"/>
    <w:rsid w:val="00FC4652"/>
    <w:rsid w:val="00FC4E99"/>
    <w:rsid w:val="00FC5E7D"/>
    <w:rsid w:val="00FC717F"/>
    <w:rsid w:val="00FD1052"/>
    <w:rsid w:val="00FD4CC0"/>
    <w:rsid w:val="00FD4E9D"/>
    <w:rsid w:val="00FD5FD9"/>
    <w:rsid w:val="00FD662E"/>
    <w:rsid w:val="00FD7334"/>
    <w:rsid w:val="00FE1BA0"/>
    <w:rsid w:val="00FE1FBA"/>
    <w:rsid w:val="00FE28AC"/>
    <w:rsid w:val="00FE35A2"/>
    <w:rsid w:val="00FE36A7"/>
    <w:rsid w:val="00FE4CA6"/>
    <w:rsid w:val="00FE4F64"/>
    <w:rsid w:val="00FE50B1"/>
    <w:rsid w:val="00FE62AA"/>
    <w:rsid w:val="00FE6D57"/>
    <w:rsid w:val="00FE7049"/>
    <w:rsid w:val="00FF0762"/>
    <w:rsid w:val="00FF2B6F"/>
    <w:rsid w:val="00FF3D1A"/>
    <w:rsid w:val="00FF4967"/>
    <w:rsid w:val="00FF5BD8"/>
    <w:rsid w:val="01D70F31"/>
    <w:rsid w:val="04987EDC"/>
    <w:rsid w:val="058A2D19"/>
    <w:rsid w:val="0B51E18F"/>
    <w:rsid w:val="0DC52B9B"/>
    <w:rsid w:val="1496471D"/>
    <w:rsid w:val="150259F9"/>
    <w:rsid w:val="2045DE5F"/>
    <w:rsid w:val="2CD2C99D"/>
    <w:rsid w:val="309AB25A"/>
    <w:rsid w:val="361299E7"/>
    <w:rsid w:val="3D4D4941"/>
    <w:rsid w:val="3E431409"/>
    <w:rsid w:val="443E31C8"/>
    <w:rsid w:val="49DFE6C6"/>
    <w:rsid w:val="55FBE4FD"/>
    <w:rsid w:val="56795C0B"/>
    <w:rsid w:val="59810195"/>
    <w:rsid w:val="610DE84D"/>
    <w:rsid w:val="68AAF936"/>
    <w:rsid w:val="699E2E22"/>
    <w:rsid w:val="6FAC29BB"/>
    <w:rsid w:val="7E4B1A9A"/>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7995F8B"/>
  <w15:chartTrackingRefBased/>
  <w15:docId w15:val="{EB48517C-5882-4D20-9203-DFB71C3EE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caption" w:semiHidden="1" w:unhideWhenUsed="1" w:qFormat="1"/>
    <w:lsdException w:name="annotation reference" w:uiPriority="99"/>
    <w:lsdException w:name="List Bullet" w:qFormat="1"/>
    <w:lsdException w:name="List Bullet 2" w:qFormat="1"/>
    <w:lsdException w:name="Hyperlink" w:uiPriority="99"/>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79F7"/>
    <w:pPr>
      <w:spacing w:after="200" w:line="276" w:lineRule="auto"/>
    </w:pPr>
    <w:rPr>
      <w:rFonts w:ascii="Arial" w:hAnsi="Arial"/>
      <w:sz w:val="24"/>
      <w:szCs w:val="24"/>
      <w:lang w:eastAsia="en-US"/>
    </w:rPr>
  </w:style>
  <w:style w:type="paragraph" w:styleId="Heading1">
    <w:name w:val="heading 1"/>
    <w:basedOn w:val="Normal"/>
    <w:next w:val="Normal"/>
    <w:qFormat/>
    <w:rsid w:val="00B37898"/>
    <w:pPr>
      <w:keepNext/>
      <w:spacing w:before="240" w:after="60"/>
      <w:outlineLvl w:val="0"/>
    </w:pPr>
    <w:rPr>
      <w:rFonts w:cs="Arial"/>
      <w:b/>
      <w:bCs/>
      <w:color w:val="0A57A3"/>
      <w:kern w:val="32"/>
      <w:sz w:val="32"/>
      <w:szCs w:val="32"/>
    </w:rPr>
  </w:style>
  <w:style w:type="paragraph" w:styleId="Heading2">
    <w:name w:val="heading 2"/>
    <w:basedOn w:val="Normal"/>
    <w:next w:val="Normal"/>
    <w:qFormat/>
    <w:rsid w:val="00A179F7"/>
    <w:pPr>
      <w:keepNext/>
      <w:spacing w:before="240"/>
      <w:outlineLvl w:val="1"/>
    </w:pPr>
    <w:rPr>
      <w:rFonts w:cs="Arial"/>
      <w:b/>
      <w:bCs/>
      <w:iCs/>
      <w:color w:val="0A57A3"/>
      <w:sz w:val="28"/>
      <w:szCs w:val="32"/>
    </w:rPr>
  </w:style>
  <w:style w:type="paragraph" w:styleId="Heading3">
    <w:name w:val="heading 3"/>
    <w:basedOn w:val="Normal"/>
    <w:next w:val="Normal"/>
    <w:qFormat/>
    <w:rsid w:val="004519E6"/>
    <w:pPr>
      <w:spacing w:after="120"/>
      <w:outlineLvl w:val="2"/>
    </w:pPr>
    <w:rPr>
      <w:b/>
      <w:bCs/>
      <w:color w:val="0A57A3"/>
    </w:rPr>
  </w:style>
  <w:style w:type="paragraph" w:styleId="Heading4">
    <w:name w:val="heading 4"/>
    <w:basedOn w:val="Normal"/>
    <w:next w:val="Normal"/>
    <w:link w:val="Heading4Char"/>
    <w:semiHidden/>
    <w:unhideWhenUsed/>
    <w:qFormat/>
    <w:rsid w:val="006725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27128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27128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27128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27128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7128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705"/>
    <w:pPr>
      <w:tabs>
        <w:tab w:val="center" w:pos="4320"/>
        <w:tab w:val="right" w:pos="8640"/>
      </w:tabs>
    </w:pPr>
    <w:rPr>
      <w:rFonts w:ascii="Cambria" w:hAnsi="Cambria"/>
      <w:lang w:val="x-none" w:eastAsia="x-none"/>
    </w:rPr>
  </w:style>
  <w:style w:type="character" w:customStyle="1" w:styleId="HeaderChar">
    <w:name w:val="Header Char"/>
    <w:link w:val="Header"/>
    <w:uiPriority w:val="99"/>
    <w:rsid w:val="00723705"/>
    <w:rPr>
      <w:sz w:val="24"/>
      <w:szCs w:val="24"/>
    </w:rPr>
  </w:style>
  <w:style w:type="paragraph" w:styleId="Footer">
    <w:name w:val="footer"/>
    <w:basedOn w:val="Normal"/>
    <w:link w:val="FooterChar"/>
    <w:uiPriority w:val="99"/>
    <w:unhideWhenUsed/>
    <w:rsid w:val="00C133E1"/>
    <w:pPr>
      <w:tabs>
        <w:tab w:val="center" w:pos="4320"/>
        <w:tab w:val="right" w:pos="8640"/>
      </w:tabs>
    </w:pPr>
    <w:rPr>
      <w:sz w:val="16"/>
    </w:rPr>
  </w:style>
  <w:style w:type="character" w:customStyle="1" w:styleId="FooterChar">
    <w:name w:val="Footer Char"/>
    <w:link w:val="Footer"/>
    <w:uiPriority w:val="99"/>
    <w:rsid w:val="00C133E1"/>
    <w:rPr>
      <w:rFonts w:ascii="Arial" w:eastAsia="Cambria" w:hAnsi="Arial"/>
      <w:sz w:val="16"/>
      <w:szCs w:val="24"/>
      <w:lang w:val="en-GB" w:eastAsia="en-US" w:bidi="ar-SA"/>
    </w:rPr>
  </w:style>
  <w:style w:type="paragraph" w:customStyle="1" w:styleId="MediumGrid1-Accent21">
    <w:name w:val="Medium Grid 1 - Accent 21"/>
    <w:basedOn w:val="Normal"/>
    <w:uiPriority w:val="34"/>
    <w:rsid w:val="00025328"/>
    <w:pPr>
      <w:ind w:left="720" w:hanging="357"/>
      <w:contextualSpacing/>
    </w:pPr>
    <w:rPr>
      <w:rFonts w:eastAsia="Times New Roman"/>
      <w:lang w:eastAsia="en-GB"/>
    </w:rPr>
  </w:style>
  <w:style w:type="paragraph" w:customStyle="1" w:styleId="NFCCdocumenttitlestyle1">
    <w:name w:val="NFCC document title style 1"/>
    <w:basedOn w:val="Normal"/>
    <w:link w:val="NFCCdocumenttitlestyle1Char"/>
    <w:rsid w:val="00301680"/>
    <w:pPr>
      <w:tabs>
        <w:tab w:val="left" w:pos="5892"/>
      </w:tabs>
      <w:ind w:left="-851" w:firstLine="720"/>
      <w:jc w:val="center"/>
    </w:pPr>
    <w:rPr>
      <w:b/>
      <w:bCs/>
      <w:color w:val="FFFFFF" w:themeColor="background1"/>
      <w:sz w:val="32"/>
      <w:szCs w:val="32"/>
    </w:rPr>
  </w:style>
  <w:style w:type="character" w:customStyle="1" w:styleId="NFCCdocumenttitlestyle1Char">
    <w:name w:val="NFCC document title style 1 Char"/>
    <w:basedOn w:val="DefaultParagraphFont"/>
    <w:link w:val="NFCCdocumenttitlestyle1"/>
    <w:rsid w:val="00301680"/>
    <w:rPr>
      <w:rFonts w:ascii="Arial" w:hAnsi="Arial"/>
      <w:b/>
      <w:bCs/>
      <w:color w:val="FFFFFF" w:themeColor="background1"/>
      <w:sz w:val="32"/>
      <w:szCs w:val="32"/>
      <w:lang w:eastAsia="en-US"/>
    </w:rPr>
  </w:style>
  <w:style w:type="character" w:styleId="CommentReference">
    <w:name w:val="annotation reference"/>
    <w:basedOn w:val="DefaultParagraphFont"/>
    <w:uiPriority w:val="99"/>
    <w:rsid w:val="004519E6"/>
    <w:rPr>
      <w:sz w:val="16"/>
      <w:szCs w:val="16"/>
    </w:rPr>
  </w:style>
  <w:style w:type="paragraph" w:styleId="CommentText">
    <w:name w:val="annotation text"/>
    <w:basedOn w:val="Normal"/>
    <w:link w:val="CommentTextChar"/>
    <w:uiPriority w:val="99"/>
    <w:rsid w:val="004519E6"/>
    <w:rPr>
      <w:sz w:val="20"/>
      <w:szCs w:val="20"/>
    </w:rPr>
  </w:style>
  <w:style w:type="character" w:customStyle="1" w:styleId="CommentTextChar">
    <w:name w:val="Comment Text Char"/>
    <w:basedOn w:val="DefaultParagraphFont"/>
    <w:link w:val="CommentText"/>
    <w:uiPriority w:val="99"/>
    <w:rsid w:val="004519E6"/>
    <w:rPr>
      <w:rFonts w:ascii="Arial" w:hAnsi="Arial"/>
      <w:lang w:eastAsia="en-US"/>
    </w:rPr>
  </w:style>
  <w:style w:type="paragraph" w:styleId="CommentSubject">
    <w:name w:val="annotation subject"/>
    <w:basedOn w:val="CommentText"/>
    <w:next w:val="CommentText"/>
    <w:link w:val="CommentSubjectChar"/>
    <w:rsid w:val="004519E6"/>
    <w:rPr>
      <w:b/>
      <w:bCs/>
    </w:rPr>
  </w:style>
  <w:style w:type="character" w:customStyle="1" w:styleId="CommentSubjectChar">
    <w:name w:val="Comment Subject Char"/>
    <w:basedOn w:val="CommentTextChar"/>
    <w:link w:val="CommentSubject"/>
    <w:rsid w:val="004519E6"/>
    <w:rPr>
      <w:rFonts w:ascii="Arial" w:hAnsi="Arial"/>
      <w:b/>
      <w:bCs/>
      <w:lang w:eastAsia="en-US"/>
    </w:rPr>
  </w:style>
  <w:style w:type="paragraph" w:styleId="TOCHeading">
    <w:name w:val="TOC Heading"/>
    <w:basedOn w:val="Heading1"/>
    <w:next w:val="Normal"/>
    <w:uiPriority w:val="39"/>
    <w:unhideWhenUsed/>
    <w:rsid w:val="007F02FD"/>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rPr>
  </w:style>
  <w:style w:type="paragraph" w:styleId="TOC1">
    <w:name w:val="toc 1"/>
    <w:basedOn w:val="Normal"/>
    <w:next w:val="Normal"/>
    <w:autoRedefine/>
    <w:uiPriority w:val="39"/>
    <w:rsid w:val="007F02FD"/>
    <w:pPr>
      <w:spacing w:after="100"/>
    </w:pPr>
  </w:style>
  <w:style w:type="paragraph" w:styleId="TOC2">
    <w:name w:val="toc 2"/>
    <w:basedOn w:val="Normal"/>
    <w:next w:val="Normal"/>
    <w:autoRedefine/>
    <w:uiPriority w:val="39"/>
    <w:rsid w:val="007F02FD"/>
    <w:pPr>
      <w:spacing w:after="100"/>
      <w:ind w:left="220"/>
    </w:pPr>
  </w:style>
  <w:style w:type="paragraph" w:styleId="TOC3">
    <w:name w:val="toc 3"/>
    <w:basedOn w:val="Normal"/>
    <w:next w:val="Normal"/>
    <w:autoRedefine/>
    <w:uiPriority w:val="39"/>
    <w:rsid w:val="007F02FD"/>
    <w:pPr>
      <w:spacing w:after="100"/>
      <w:ind w:left="440"/>
    </w:pPr>
  </w:style>
  <w:style w:type="character" w:styleId="Hyperlink">
    <w:name w:val="Hyperlink"/>
    <w:basedOn w:val="DefaultParagraphFont"/>
    <w:uiPriority w:val="99"/>
    <w:unhideWhenUsed/>
    <w:rsid w:val="007F02FD"/>
    <w:rPr>
      <w:color w:val="0563C1" w:themeColor="hyperlink"/>
      <w:u w:val="single"/>
    </w:rPr>
  </w:style>
  <w:style w:type="character" w:styleId="PlaceholderText">
    <w:name w:val="Placeholder Text"/>
    <w:basedOn w:val="DefaultParagraphFont"/>
    <w:uiPriority w:val="99"/>
    <w:unhideWhenUsed/>
    <w:rsid w:val="00E850FE"/>
    <w:rPr>
      <w:color w:val="808080"/>
    </w:rPr>
  </w:style>
  <w:style w:type="paragraph" w:customStyle="1" w:styleId="Location">
    <w:name w:val="Location"/>
    <w:basedOn w:val="Normal"/>
    <w:uiPriority w:val="11"/>
    <w:rsid w:val="007E26AE"/>
    <w:pPr>
      <w:jc w:val="right"/>
    </w:pPr>
    <w:rPr>
      <w:rFonts w:ascii="Calibri" w:eastAsia="Times New Roman" w:hAnsi="Calibri" w:cs="Arial"/>
      <w:iCs/>
      <w:szCs w:val="22"/>
    </w:rPr>
  </w:style>
  <w:style w:type="table" w:styleId="TableGrid">
    <w:name w:val="Table Grid"/>
    <w:basedOn w:val="TableNormal"/>
    <w:rsid w:val="007E26AE"/>
    <w:pPr>
      <w:spacing w:before="60" w:after="60" w:line="276" w:lineRule="auto"/>
    </w:pPr>
    <w:rPr>
      <w:rFonts w:asciiTheme="minorHAnsi" w:eastAsia="Times New Roman" w:hAnsi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ListParagraph"/>
    <w:qFormat/>
    <w:rsid w:val="00F12E10"/>
    <w:pPr>
      <w:numPr>
        <w:numId w:val="1"/>
      </w:numPr>
      <w:tabs>
        <w:tab w:val="left" w:pos="2205"/>
      </w:tabs>
      <w:spacing w:after="120"/>
      <w:ind w:left="714" w:hanging="357"/>
      <w:contextualSpacing w:val="0"/>
    </w:pPr>
  </w:style>
  <w:style w:type="paragraph" w:styleId="ListBullet2">
    <w:name w:val="List Bullet 2"/>
    <w:basedOn w:val="ListParagraph"/>
    <w:qFormat/>
    <w:rsid w:val="00F12E10"/>
    <w:pPr>
      <w:numPr>
        <w:ilvl w:val="1"/>
        <w:numId w:val="1"/>
      </w:numPr>
      <w:tabs>
        <w:tab w:val="left" w:pos="2205"/>
      </w:tabs>
      <w:spacing w:after="120"/>
      <w:ind w:left="1077" w:hanging="357"/>
      <w:contextualSpacing w:val="0"/>
    </w:pPr>
  </w:style>
  <w:style w:type="paragraph" w:styleId="ListParagraph">
    <w:name w:val="List Paragraph"/>
    <w:basedOn w:val="Normal"/>
    <w:uiPriority w:val="34"/>
    <w:qFormat/>
    <w:rsid w:val="00F12E10"/>
    <w:pPr>
      <w:ind w:left="720"/>
      <w:contextualSpacing/>
    </w:pPr>
  </w:style>
  <w:style w:type="paragraph" w:customStyle="1" w:styleId="NFCCTitleonBlueBorder">
    <w:name w:val="NFCC Title on Blue Border"/>
    <w:basedOn w:val="NFCCdocumenttitlestyle1"/>
    <w:link w:val="NFCCTitleonBlueBorderChar"/>
    <w:qFormat/>
    <w:rsid w:val="00E31C74"/>
    <w:pPr>
      <w:spacing w:before="240" w:after="0"/>
    </w:pPr>
    <w:rPr>
      <w:sz w:val="44"/>
      <w:szCs w:val="44"/>
    </w:rPr>
  </w:style>
  <w:style w:type="paragraph" w:customStyle="1" w:styleId="NFCCnumberedpoints">
    <w:name w:val="NFCC numbered points"/>
    <w:basedOn w:val="Normal"/>
    <w:qFormat/>
    <w:rsid w:val="00DE01CF"/>
    <w:pPr>
      <w:numPr>
        <w:numId w:val="2"/>
      </w:numPr>
      <w:spacing w:after="240"/>
      <w:ind w:left="567" w:hanging="567"/>
    </w:pPr>
    <w:rPr>
      <w:sz w:val="22"/>
    </w:rPr>
  </w:style>
  <w:style w:type="character" w:customStyle="1" w:styleId="NFCCTitleonBlueBorderChar">
    <w:name w:val="NFCC Title on Blue Border Char"/>
    <w:basedOn w:val="NFCCdocumenttitlestyle1Char"/>
    <w:link w:val="NFCCTitleonBlueBorder"/>
    <w:rsid w:val="00E31C74"/>
    <w:rPr>
      <w:rFonts w:ascii="Arial" w:hAnsi="Arial"/>
      <w:b/>
      <w:bCs/>
      <w:color w:val="FFFFFF" w:themeColor="background1"/>
      <w:sz w:val="44"/>
      <w:szCs w:val="44"/>
      <w:lang w:eastAsia="en-US"/>
    </w:rPr>
  </w:style>
  <w:style w:type="paragraph" w:styleId="Revision">
    <w:name w:val="Revision"/>
    <w:hidden/>
    <w:uiPriority w:val="71"/>
    <w:rsid w:val="009E2EE9"/>
    <w:rPr>
      <w:rFonts w:ascii="Arial" w:hAnsi="Arial"/>
      <w:sz w:val="24"/>
      <w:szCs w:val="24"/>
      <w:lang w:eastAsia="en-US"/>
    </w:rPr>
  </w:style>
  <w:style w:type="paragraph" w:customStyle="1" w:styleId="paragraph">
    <w:name w:val="paragraph"/>
    <w:basedOn w:val="Normal"/>
    <w:rsid w:val="00191559"/>
    <w:pPr>
      <w:spacing w:before="100" w:beforeAutospacing="1" w:after="100" w:afterAutospacing="1" w:line="240" w:lineRule="auto"/>
    </w:pPr>
    <w:rPr>
      <w:rFonts w:ascii="Times New Roman" w:eastAsia="Times New Roman" w:hAnsi="Times New Roman"/>
      <w:lang w:eastAsia="en-GB"/>
    </w:rPr>
  </w:style>
  <w:style w:type="character" w:styleId="UnresolvedMention">
    <w:name w:val="Unresolved Mention"/>
    <w:basedOn w:val="DefaultParagraphFont"/>
    <w:uiPriority w:val="99"/>
    <w:semiHidden/>
    <w:unhideWhenUsed/>
    <w:rsid w:val="00DC6140"/>
    <w:rPr>
      <w:color w:val="605E5C"/>
      <w:shd w:val="clear" w:color="auto" w:fill="E1DFDD"/>
    </w:rPr>
  </w:style>
  <w:style w:type="character" w:styleId="FollowedHyperlink">
    <w:name w:val="FollowedHyperlink"/>
    <w:basedOn w:val="DefaultParagraphFont"/>
    <w:rsid w:val="00B72784"/>
    <w:rPr>
      <w:color w:val="954F72" w:themeColor="followedHyperlink"/>
      <w:u w:val="single"/>
    </w:rPr>
  </w:style>
  <w:style w:type="character" w:styleId="Mention">
    <w:name w:val="Mention"/>
    <w:basedOn w:val="DefaultParagraphFont"/>
    <w:uiPriority w:val="99"/>
    <w:unhideWhenUsed/>
    <w:rsid w:val="00F01A69"/>
    <w:rPr>
      <w:color w:val="2B579A"/>
      <w:shd w:val="clear" w:color="auto" w:fill="E1DFDD"/>
    </w:rPr>
  </w:style>
  <w:style w:type="character" w:customStyle="1" w:styleId="Heading4Char">
    <w:name w:val="Heading 4 Char"/>
    <w:basedOn w:val="DefaultParagraphFont"/>
    <w:link w:val="Heading4"/>
    <w:semiHidden/>
    <w:rsid w:val="006725BB"/>
    <w:rPr>
      <w:rFonts w:asciiTheme="majorHAnsi" w:eastAsiaTheme="majorEastAsia" w:hAnsiTheme="majorHAnsi" w:cstheme="majorBidi"/>
      <w:i/>
      <w:iCs/>
      <w:color w:val="2F5496" w:themeColor="accent1" w:themeShade="BF"/>
      <w:sz w:val="24"/>
      <w:szCs w:val="24"/>
      <w:lang w:eastAsia="en-US"/>
    </w:rPr>
  </w:style>
  <w:style w:type="character" w:customStyle="1" w:styleId="Heading5Char">
    <w:name w:val="Heading 5 Char"/>
    <w:basedOn w:val="DefaultParagraphFont"/>
    <w:link w:val="Heading5"/>
    <w:semiHidden/>
    <w:rsid w:val="00271283"/>
    <w:rPr>
      <w:rFonts w:asciiTheme="majorHAnsi" w:eastAsiaTheme="majorEastAsia" w:hAnsiTheme="majorHAnsi" w:cstheme="majorBidi"/>
      <w:color w:val="2F5496" w:themeColor="accent1" w:themeShade="BF"/>
      <w:sz w:val="24"/>
      <w:szCs w:val="24"/>
      <w:lang w:eastAsia="en-US"/>
    </w:rPr>
  </w:style>
  <w:style w:type="character" w:customStyle="1" w:styleId="Heading6Char">
    <w:name w:val="Heading 6 Char"/>
    <w:basedOn w:val="DefaultParagraphFont"/>
    <w:link w:val="Heading6"/>
    <w:semiHidden/>
    <w:rsid w:val="00271283"/>
    <w:rPr>
      <w:rFonts w:asciiTheme="majorHAnsi" w:eastAsiaTheme="majorEastAsia" w:hAnsiTheme="majorHAnsi" w:cstheme="majorBidi"/>
      <w:color w:val="1F3763" w:themeColor="accent1" w:themeShade="7F"/>
      <w:sz w:val="24"/>
      <w:szCs w:val="24"/>
      <w:lang w:eastAsia="en-US"/>
    </w:rPr>
  </w:style>
  <w:style w:type="character" w:customStyle="1" w:styleId="Heading7Char">
    <w:name w:val="Heading 7 Char"/>
    <w:basedOn w:val="DefaultParagraphFont"/>
    <w:link w:val="Heading7"/>
    <w:semiHidden/>
    <w:rsid w:val="00271283"/>
    <w:rPr>
      <w:rFonts w:asciiTheme="majorHAnsi" w:eastAsiaTheme="majorEastAsia" w:hAnsiTheme="majorHAnsi" w:cstheme="majorBidi"/>
      <w:i/>
      <w:iCs/>
      <w:color w:val="1F3763" w:themeColor="accent1" w:themeShade="7F"/>
      <w:sz w:val="24"/>
      <w:szCs w:val="24"/>
      <w:lang w:eastAsia="en-US"/>
    </w:rPr>
  </w:style>
  <w:style w:type="character" w:customStyle="1" w:styleId="Heading8Char">
    <w:name w:val="Heading 8 Char"/>
    <w:basedOn w:val="DefaultParagraphFont"/>
    <w:link w:val="Heading8"/>
    <w:semiHidden/>
    <w:rsid w:val="00271283"/>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271283"/>
    <w:rPr>
      <w:rFonts w:asciiTheme="majorHAnsi" w:eastAsiaTheme="majorEastAsia" w:hAnsiTheme="majorHAnsi" w:cstheme="majorBidi"/>
      <w:i/>
      <w:iCs/>
      <w:color w:val="272727" w:themeColor="text1" w:themeTint="D8"/>
      <w:sz w:val="21"/>
      <w:szCs w:val="21"/>
      <w:lang w:eastAsia="en-US"/>
    </w:rPr>
  </w:style>
  <w:style w:type="character" w:styleId="BookTitle">
    <w:name w:val="Book Title"/>
    <w:basedOn w:val="DefaultParagraphFont"/>
    <w:uiPriority w:val="69"/>
    <w:rsid w:val="00271283"/>
    <w:rPr>
      <w:b/>
      <w:bCs/>
      <w:i/>
      <w:iCs/>
      <w:spacing w:val="5"/>
    </w:rPr>
  </w:style>
  <w:style w:type="paragraph" w:styleId="Caption">
    <w:name w:val="caption"/>
    <w:basedOn w:val="Normal"/>
    <w:next w:val="Normal"/>
    <w:semiHidden/>
    <w:unhideWhenUsed/>
    <w:qFormat/>
    <w:rsid w:val="00271283"/>
    <w:pPr>
      <w:spacing w:line="240" w:lineRule="auto"/>
    </w:pPr>
    <w:rPr>
      <w:i/>
      <w:iCs/>
      <w:color w:val="44546A" w:themeColor="text2"/>
      <w:sz w:val="18"/>
      <w:szCs w:val="18"/>
    </w:rPr>
  </w:style>
  <w:style w:type="character" w:styleId="Emphasis">
    <w:name w:val="Emphasis"/>
    <w:basedOn w:val="DefaultParagraphFont"/>
    <w:rsid w:val="00271283"/>
    <w:rPr>
      <w:i/>
      <w:iCs/>
    </w:rPr>
  </w:style>
  <w:style w:type="character" w:styleId="IntenseEmphasis">
    <w:name w:val="Intense Emphasis"/>
    <w:basedOn w:val="DefaultParagraphFont"/>
    <w:uiPriority w:val="66"/>
    <w:rsid w:val="00271283"/>
    <w:rPr>
      <w:i/>
      <w:iCs/>
      <w:color w:val="4472C4" w:themeColor="accent1"/>
    </w:rPr>
  </w:style>
  <w:style w:type="paragraph" w:styleId="IntenseQuote">
    <w:name w:val="Intense Quote"/>
    <w:basedOn w:val="Normal"/>
    <w:next w:val="Normal"/>
    <w:link w:val="IntenseQuoteChar"/>
    <w:uiPriority w:val="60"/>
    <w:rsid w:val="0027128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60"/>
    <w:rsid w:val="00271283"/>
    <w:rPr>
      <w:rFonts w:ascii="Arial" w:hAnsi="Arial"/>
      <w:i/>
      <w:iCs/>
      <w:color w:val="4472C4" w:themeColor="accent1"/>
      <w:sz w:val="24"/>
      <w:szCs w:val="24"/>
      <w:lang w:eastAsia="en-US"/>
    </w:rPr>
  </w:style>
  <w:style w:type="character" w:styleId="IntenseReference">
    <w:name w:val="Intense Reference"/>
    <w:basedOn w:val="DefaultParagraphFont"/>
    <w:uiPriority w:val="68"/>
    <w:rsid w:val="00271283"/>
    <w:rPr>
      <w:b/>
      <w:bCs/>
      <w:smallCaps/>
      <w:color w:val="4472C4" w:themeColor="accent1"/>
      <w:spacing w:val="5"/>
    </w:rPr>
  </w:style>
  <w:style w:type="paragraph" w:styleId="NoSpacing">
    <w:name w:val="No Spacing"/>
    <w:uiPriority w:val="99"/>
    <w:rsid w:val="00271283"/>
    <w:rPr>
      <w:rFonts w:ascii="Arial" w:hAnsi="Arial"/>
      <w:sz w:val="24"/>
      <w:szCs w:val="24"/>
      <w:lang w:eastAsia="en-US"/>
    </w:rPr>
  </w:style>
  <w:style w:type="paragraph" w:styleId="Quote">
    <w:name w:val="Quote"/>
    <w:basedOn w:val="Normal"/>
    <w:next w:val="Normal"/>
    <w:link w:val="QuoteChar"/>
    <w:uiPriority w:val="73"/>
    <w:rsid w:val="0027128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rsid w:val="00271283"/>
    <w:rPr>
      <w:rFonts w:ascii="Arial" w:hAnsi="Arial"/>
      <w:i/>
      <w:iCs/>
      <w:color w:val="404040" w:themeColor="text1" w:themeTint="BF"/>
      <w:sz w:val="24"/>
      <w:szCs w:val="24"/>
      <w:lang w:eastAsia="en-US"/>
    </w:rPr>
  </w:style>
  <w:style w:type="character" w:styleId="Strong">
    <w:name w:val="Strong"/>
    <w:basedOn w:val="DefaultParagraphFont"/>
    <w:rsid w:val="00271283"/>
    <w:rPr>
      <w:b/>
      <w:bCs/>
    </w:rPr>
  </w:style>
  <w:style w:type="paragraph" w:styleId="Subtitle">
    <w:name w:val="Subtitle"/>
    <w:basedOn w:val="Normal"/>
    <w:next w:val="Normal"/>
    <w:link w:val="SubtitleChar"/>
    <w:rsid w:val="0027128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271283"/>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65"/>
    <w:rsid w:val="00271283"/>
    <w:rPr>
      <w:i/>
      <w:iCs/>
      <w:color w:val="404040" w:themeColor="text1" w:themeTint="BF"/>
    </w:rPr>
  </w:style>
  <w:style w:type="character" w:styleId="SubtleReference">
    <w:name w:val="Subtle Reference"/>
    <w:basedOn w:val="DefaultParagraphFont"/>
    <w:uiPriority w:val="67"/>
    <w:rsid w:val="00271283"/>
    <w:rPr>
      <w:smallCaps/>
      <w:color w:val="5A5A5A" w:themeColor="text1" w:themeTint="A5"/>
    </w:rPr>
  </w:style>
  <w:style w:type="paragraph" w:styleId="Title">
    <w:name w:val="Title"/>
    <w:basedOn w:val="Normal"/>
    <w:next w:val="Normal"/>
    <w:link w:val="TitleChar"/>
    <w:rsid w:val="002712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71283"/>
    <w:rPr>
      <w:rFonts w:asciiTheme="majorHAnsi" w:eastAsiaTheme="majorEastAsia" w:hAnsiTheme="majorHAnsi" w:cstheme="majorBidi"/>
      <w:spacing w:val="-10"/>
      <w:kern w:val="28"/>
      <w:sz w:val="56"/>
      <w:szCs w:val="56"/>
      <w:lang w:eastAsia="en-US"/>
    </w:rPr>
  </w:style>
  <w:style w:type="paragraph" w:styleId="NormalWeb">
    <w:name w:val="Normal (Web)"/>
    <w:basedOn w:val="Normal"/>
    <w:uiPriority w:val="99"/>
    <w:unhideWhenUsed/>
    <w:rsid w:val="000E5E70"/>
    <w:pPr>
      <w:spacing w:before="100" w:beforeAutospacing="1" w:after="100" w:afterAutospacing="1" w:line="240" w:lineRule="auto"/>
    </w:pPr>
    <w:rPr>
      <w:rFonts w:ascii="Times New Roman" w:eastAsia="Times New Roman" w:hAnsi="Times New Roman"/>
      <w:lang w:eastAsia="en-GB"/>
    </w:rPr>
  </w:style>
  <w:style w:type="character" w:styleId="LineNumber">
    <w:name w:val="line number"/>
    <w:basedOn w:val="DefaultParagraphFont"/>
    <w:rsid w:val="00F81F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s://nfcc.org.uk/about/how-we-are-structured/organisational-learning/" TargetMode="External"/><Relationship Id="rId18" Type="http://schemas.openxmlformats.org/officeDocument/2006/relationships/hyperlink" Target="https://nfcc.org.uk/our-services/national-operational-guidance/learning/organisational-learning-good-practice-guide/" TargetMode="External"/><Relationship Id="rId26" Type="http://schemas.openxmlformats.org/officeDocument/2006/relationships/hyperlink" Target="https://ico.org.uk/for-organisations/uk-gdpr-guidance-and-resources/data-sharing/anonymisation/how-do-we-ensure-anonymisation-is-effective/" TargetMode="External"/><Relationship Id="rId39" Type="http://schemas.openxmlformats.org/officeDocument/2006/relationships/hyperlink" Target="https://ico.org.uk/for-organisations/uk-gdpr-guidance-and-resources/lawful-basis/criminal-offence-data/what-are-the-rules-on-criminal-offence-data/" TargetMode="External"/><Relationship Id="rId21" Type="http://schemas.openxmlformats.org/officeDocument/2006/relationships/hyperlink" Target="https://nfcc.org.uk/our-services/national-operational-guidance/learning/organisational-learning-good-practice-guide/" TargetMode="External"/><Relationship Id="rId34" Type="http://schemas.openxmlformats.org/officeDocument/2006/relationships/hyperlink" Target="https://ico.org.uk/for-organisations/uk-gdpr-guidance-and-resources/accountability-and-governance/data-protection-impact-assessments-dpias/what-is-a-dpia/" TargetMode="External"/><Relationship Id="rId42" Type="http://schemas.openxmlformats.org/officeDocument/2006/relationships/hyperlink" Target="https://nfcc.org.uk/our-services/share-knowledge-and-learning/organisational-learning-submission/" TargetMode="External"/><Relationship Id="rId47" Type="http://schemas.openxmlformats.org/officeDocument/2006/relationships/hyperlink" Target="https://www.reportfraud.police.uk/" TargetMode="External"/><Relationship Id="rId50" Type="http://schemas.openxmlformats.org/officeDocument/2006/relationships/hyperlink" Target="mailto:OrganisationalLearning@nfcc.org.uk" TargetMode="External"/><Relationship Id="rId55"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fcc.org.uk/our-services/share-knowledge-and-learning/" TargetMode="External"/><Relationship Id="rId29" Type="http://schemas.openxmlformats.org/officeDocument/2006/relationships/hyperlink" Target="https://ico.org.uk/for-organisations/uk-gdpr-guidance-and-resources/lawful-basis/a-guide-to-lawful-basis/" TargetMode="External"/><Relationship Id="rId11" Type="http://schemas.openxmlformats.org/officeDocument/2006/relationships/hyperlink" Target="https://nfcc.org.uk/our-services/people-programme/core-code-of-ethics/" TargetMode="External"/><Relationship Id="rId24" Type="http://schemas.openxmlformats.org/officeDocument/2006/relationships/hyperlink" Target="https://ico.org.uk/for-organisations/uk-gdpr-guidance-and-resources/data-sharing/anonymisation/how-do-we-ensure-anonymisation-is-effective/" TargetMode="External"/><Relationship Id="rId32" Type="http://schemas.openxmlformats.org/officeDocument/2006/relationships/hyperlink" Target="https://ico.org.uk/for-organisations/uk-gdpr-guidance-and-resources/lawful-basis/criminal-offence-data/what-are-the-rules-on-criminal-offence-data/" TargetMode="External"/><Relationship Id="rId37" Type="http://schemas.openxmlformats.org/officeDocument/2006/relationships/hyperlink" Target="https://ico.org.uk/for-organisations/uk-gdpr-guidance-and-resources/lawful-basis/a-guide-to-lawful-basis/" TargetMode="External"/><Relationship Id="rId40" Type="http://schemas.openxmlformats.org/officeDocument/2006/relationships/hyperlink" Target="https://ico.org.uk/for-organisations/uk-gdpr-guidance-and-resources/data-sharing/anonymisation/" TargetMode="External"/><Relationship Id="rId45" Type="http://schemas.openxmlformats.org/officeDocument/2006/relationships/hyperlink" Target="https://www.legislation.gov.uk/ukpga/2010/15/part/2/chapter/1" TargetMode="External"/><Relationship Id="rId53" Type="http://schemas.openxmlformats.org/officeDocument/2006/relationships/footer" Target="footer1.xml"/><Relationship Id="rId5" Type="http://schemas.openxmlformats.org/officeDocument/2006/relationships/numbering" Target="numbering.xml"/><Relationship Id="rId19" Type="http://schemas.openxmlformats.org/officeDocument/2006/relationships/hyperlink" Target="https://nfcc.org.uk/our-services/people-programme/leadership-framewor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fcc.org.uk/our-services/national-operational-guidance/learning/organisational-learning-good-practice-guide/" TargetMode="External"/><Relationship Id="rId22" Type="http://schemas.openxmlformats.org/officeDocument/2006/relationships/hyperlink" Target="https://nfcc.org.uk/our-services/national-operational-guidance/learning/organisational-learning-good-practice-guide/" TargetMode="External"/><Relationship Id="rId27" Type="http://schemas.openxmlformats.org/officeDocument/2006/relationships/hyperlink" Target="https://ico.org.uk/for-organisations/uk-gdpr-guidance-and-resources/data-sharing/anonymisation/how-do-we-ensure-anonymisation-is-effective/" TargetMode="External"/><Relationship Id="rId30" Type="http://schemas.openxmlformats.org/officeDocument/2006/relationships/hyperlink" Target="https://ico.org.uk/for-organisations/uk-gdpr-guidance-and-resources/lawful-basis/a-guide-to-lawful-basis/" TargetMode="External"/><Relationship Id="rId35" Type="http://schemas.openxmlformats.org/officeDocument/2006/relationships/hyperlink" Target="https://ico.org.uk/for-organisations/uk-gdpr-guidance-and-resources/lawful-basis/a-guide-to-lawful-basis/public-task/" TargetMode="External"/><Relationship Id="rId43" Type="http://schemas.openxmlformats.org/officeDocument/2006/relationships/hyperlink" Target="https://nfcc.org.uk/our-services/people-programme/core-code-of-ethics/" TargetMode="External"/><Relationship Id="rId48" Type="http://schemas.openxmlformats.org/officeDocument/2006/relationships/hyperlink" Target="https://nfcc.org.uk/our-services/share-knowledge-and-learning/organisational-learning-submission/"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nfcc.org.uk/" TargetMode="External"/><Relationship Id="rId3" Type="http://schemas.openxmlformats.org/officeDocument/2006/relationships/customXml" Target="../customXml/item3.xml"/><Relationship Id="rId12" Type="http://schemas.openxmlformats.org/officeDocument/2006/relationships/hyperlink" Target="https://hmicfrs.justiceinspectorates.gov.uk/publication-html/standards-of-behaviour-handling-misconduct-in-frs/" TargetMode="External"/><Relationship Id="rId17" Type="http://schemas.openxmlformats.org/officeDocument/2006/relationships/hyperlink" Target="https://nfcc.org.uk/our-services/national-operational-guidance/learning/organisational-learning-good-practice-guide/" TargetMode="External"/><Relationship Id="rId25" Type="http://schemas.openxmlformats.org/officeDocument/2006/relationships/hyperlink" Target="https://ico.org.uk/for-organisations/uk-gdpr-guidance-and-resources/data-sharing/anonymisation/how-do-we-ensure-anonymisation-is-effective/" TargetMode="External"/><Relationship Id="rId33" Type="http://schemas.openxmlformats.org/officeDocument/2006/relationships/hyperlink" Target="https://ico.org.uk/for-organisations/uk-gdpr-guidance-and-resources/data-sharing/anonymisation/" TargetMode="External"/><Relationship Id="rId38" Type="http://schemas.openxmlformats.org/officeDocument/2006/relationships/hyperlink" Target="https://ico.org.uk/for-organisations/uk-gdpr-guidance-and-resources/lawful-basis/special-category-data/what-is-special-category-data/" TargetMode="External"/><Relationship Id="rId46" Type="http://schemas.openxmlformats.org/officeDocument/2006/relationships/hyperlink" Target="https://www.acas.org.uk/employment-tribunals" TargetMode="External"/><Relationship Id="rId20" Type="http://schemas.openxmlformats.org/officeDocument/2006/relationships/hyperlink" Target="https://nfcc.org.uk/wp-content/uploads/2023/08/NFCC_Leadership_Framework_Final-1.pdf" TargetMode="External"/><Relationship Id="rId41" Type="http://schemas.openxmlformats.org/officeDocument/2006/relationships/hyperlink" Target="https://ico.org.uk/for-organisations/uk-gdpr-guidance-and-resources/accountability-and-governance/data-protection-impact-assessments-dpias/what-is-a-dpia/"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nfcc.org.uk/about/how-we-are-structured/organisational-learning/" TargetMode="External"/><Relationship Id="rId23" Type="http://schemas.openxmlformats.org/officeDocument/2006/relationships/hyperlink" Target="https://ico.org.uk/for-organisations/uk-gdpr-guidance-and-resources/accountability-and-governance/data-protection-impact-assessments-dpias/what-is-a-dpia/" TargetMode="External"/><Relationship Id="rId28" Type="http://schemas.openxmlformats.org/officeDocument/2006/relationships/hyperlink" Target="https://ico.org.uk/for-organisations/uk-gdpr-guidance-and-resources/lawful-basis/a-guide-to-lawful-basis/public-task/" TargetMode="External"/><Relationship Id="rId36" Type="http://schemas.openxmlformats.org/officeDocument/2006/relationships/hyperlink" Target="https://ico.org.uk/for-organisations/uk-gdpr-guidance-and-resources/lawful-basis/a-guide-to-lawful-basis/" TargetMode="External"/><Relationship Id="rId49" Type="http://schemas.openxmlformats.org/officeDocument/2006/relationships/hyperlink" Target="https://nfcc.org.uk/our-services/share-knowledge-and-learning/organisational-learning-submission/"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ico.org.uk/for-organisations/uk-gdpr-guidance-and-resources/lawful-basis/special-category-data/what-is-special-category-data/" TargetMode="External"/><Relationship Id="rId44" Type="http://schemas.openxmlformats.org/officeDocument/2006/relationships/hyperlink" Target="https://www.legislation.gov.uk/ukpga/2010/15/part/2/chapter/1" TargetMode="External"/><Relationship Id="rId5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D0B3251CE9D04AACFCACAE290F888D" ma:contentTypeVersion="13" ma:contentTypeDescription="Create a new document." ma:contentTypeScope="" ma:versionID="1b9744378fcf93ed89f5e65c87ee4fce">
  <xsd:schema xmlns:xsd="http://www.w3.org/2001/XMLSchema" xmlns:xs="http://www.w3.org/2001/XMLSchema" xmlns:p="http://schemas.microsoft.com/office/2006/metadata/properties" xmlns:ns2="168aca1d-1eaa-4839-b351-1f6a86d2868a" xmlns:ns3="a1f57ea5-2b8a-432c-8a4d-ff26b538c507" targetNamespace="http://schemas.microsoft.com/office/2006/metadata/properties" ma:root="true" ma:fieldsID="1b57e7489ada1821081da7c045bbe9a7" ns2:_="" ns3:_="">
    <xsd:import namespace="168aca1d-1eaa-4839-b351-1f6a86d2868a"/>
    <xsd:import namespace="a1f57ea5-2b8a-432c-8a4d-ff26b538c5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8aca1d-1eaa-4839-b351-1f6a86d286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e50ef28-99b3-468c-877a-52e04a70a6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f57ea5-2b8a-432c-8a4d-ff26b538c50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5d11085-1724-44b0-bc35-4bf37493d94a}" ma:internalName="TaxCatchAll" ma:showField="CatchAllData" ma:web="a1f57ea5-2b8a-432c-8a4d-ff26b538c5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1f57ea5-2b8a-432c-8a4d-ff26b538c507"/>
    <lcf76f155ced4ddcb4097134ff3c332f xmlns="168aca1d-1eaa-4839-b351-1f6a86d286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DBB507-B859-4B72-9DE1-F9175DBC65BA}">
  <ds:schemaRefs>
    <ds:schemaRef ds:uri="http://schemas.microsoft.com/sharepoint/v3/contenttype/forms"/>
  </ds:schemaRefs>
</ds:datastoreItem>
</file>

<file path=customXml/itemProps2.xml><?xml version="1.0" encoding="utf-8"?>
<ds:datastoreItem xmlns:ds="http://schemas.openxmlformats.org/officeDocument/2006/customXml" ds:itemID="{1756242C-36B7-4C0B-9438-8433D2B74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8aca1d-1eaa-4839-b351-1f6a86d2868a"/>
    <ds:schemaRef ds:uri="a1f57ea5-2b8a-432c-8a4d-ff26b538c5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084037-810A-47BE-8F98-96F2D5C9BB0F}">
  <ds:schemaRefs>
    <ds:schemaRef ds:uri="http://schemas.openxmlformats.org/officeDocument/2006/bibliography"/>
  </ds:schemaRefs>
</ds:datastoreItem>
</file>

<file path=customXml/itemProps4.xml><?xml version="1.0" encoding="utf-8"?>
<ds:datastoreItem xmlns:ds="http://schemas.openxmlformats.org/officeDocument/2006/customXml" ds:itemID="{0BF065C9-2633-4347-BFC6-6C4CBBB95A18}">
  <ds:schemaRefs>
    <ds:schemaRef ds:uri="http://schemas.microsoft.com/office/2006/metadata/properties"/>
    <ds:schemaRef ds:uri="http://schemas.microsoft.com/office/infopath/2007/PartnerControls"/>
    <ds:schemaRef ds:uri="a1f57ea5-2b8a-432c-8a4d-ff26b538c507"/>
    <ds:schemaRef ds:uri="168aca1d-1eaa-4839-b351-1f6a86d2868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9732</Words>
  <Characters>57517</Characters>
  <Application>Microsoft Office Word</Application>
  <DocSecurity>4</DocSecurity>
  <Lines>1127</Lines>
  <Paragraphs>542</Paragraphs>
  <ScaleCrop>false</ScaleCrop>
  <Manager/>
  <Company>CFOA</Company>
  <LinksUpToDate>false</LinksUpToDate>
  <CharactersWithSpaces>66707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text here</dc:title>
  <dc:subject>HSE</dc:subject>
  <dc:creator>Microsoft Office User</dc:creator>
  <cp:keywords/>
  <cp:lastModifiedBy>Rachael Lorimer</cp:lastModifiedBy>
  <cp:revision>2</cp:revision>
  <cp:lastPrinted>2015-07-03T08:57:00Z</cp:lastPrinted>
  <dcterms:created xsi:type="dcterms:W3CDTF">2026-10-29T14:43:00Z</dcterms:created>
  <dcterms:modified xsi:type="dcterms:W3CDTF">2026-10-29T14:43:00Z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0x01010072D0B3251CE9D04AACFCACAE290F888D</vt:lpwstr>
  </property>
  <property fmtid="{D5CDD505-2E9C-101B-9397-08002B2CF9AE}" pid="3" name="MediaServiceImageTags">
    <vt:lpwstr/>
  </property>
  <property fmtid="{D5CDD505-2E9C-101B-9397-08002B2CF9AE}" pid="4" name="MSIP_Label_4d22f659-8248-4419-995f-fff2cde2ff83_Enabled">
    <vt:lpwstr>true</vt:lpwstr>
  </property>
  <property fmtid="{D5CDD505-2E9C-101B-9397-08002B2CF9AE}" pid="5" name="MSIP_Label_4d22f659-8248-4419-995f-fff2cde2ff83_SetDate">
    <vt:lpwstr>2022-10-14T09:50:05Z</vt:lpwstr>
  </property>
  <property fmtid="{D5CDD505-2E9C-101B-9397-08002B2CF9AE}" pid="6" name="MSIP_Label_4d22f659-8248-4419-995f-fff2cde2ff83_Method">
    <vt:lpwstr>Standard</vt:lpwstr>
  </property>
  <property fmtid="{D5CDD505-2E9C-101B-9397-08002B2CF9AE}" pid="7" name="MSIP_Label_4d22f659-8248-4419-995f-fff2cde2ff83_Name">
    <vt:lpwstr>OFFICIAL</vt:lpwstr>
  </property>
  <property fmtid="{D5CDD505-2E9C-101B-9397-08002B2CF9AE}" pid="8" name="MSIP_Label_4d22f659-8248-4419-995f-fff2cde2ff83_SiteId">
    <vt:lpwstr>c8b125d0-ba85-4441-8b06-df523851b190</vt:lpwstr>
  </property>
  <property fmtid="{D5CDD505-2E9C-101B-9397-08002B2CF9AE}" pid="9" name="MSIP_Label_4d22f659-8248-4419-995f-fff2cde2ff83_ActionId">
    <vt:lpwstr>c742d765-fc3a-457c-bcd1-9ff57064bc83</vt:lpwstr>
  </property>
  <property fmtid="{D5CDD505-2E9C-101B-9397-08002B2CF9AE}" pid="10" name="MSIP_Label_4d22f659-8248-4419-995f-fff2cde2ff83_ContentBits">
    <vt:lpwstr>3</vt:lpwstr>
  </property>
  <property fmtid="{D5CDD505-2E9C-101B-9397-08002B2CF9AE}" pid="11" name="docLang">
    <vt:lpwstr>en</vt:lpwstr>
  </property>
</Properties>
</file>